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5C8" w:rsidRDefault="008545C8" w:rsidP="008545C8">
      <w:pPr>
        <w:spacing w:line="360" w:lineRule="auto"/>
        <w:jc w:val="center"/>
        <w:rPr>
          <w:rFonts w:ascii="Times New Roman" w:hAnsi="Times New Roman" w:cs="Times New Roman"/>
          <w:b/>
          <w:sz w:val="36"/>
          <w:szCs w:val="36"/>
        </w:rPr>
      </w:pPr>
      <w:r w:rsidRPr="006957A6">
        <w:rPr>
          <w:rFonts w:ascii="Times New Roman" w:hAnsi="Times New Roman" w:cs="Times New Roman"/>
          <w:b/>
          <w:sz w:val="36"/>
          <w:szCs w:val="36"/>
        </w:rPr>
        <w:t xml:space="preserve">Performance of in silico </w:t>
      </w:r>
      <w:r w:rsidRPr="00E01EEB">
        <w:rPr>
          <w:rFonts w:ascii="Times New Roman" w:hAnsi="Times New Roman" w:cs="Times New Roman"/>
          <w:b/>
          <w:sz w:val="36"/>
          <w:szCs w:val="36"/>
        </w:rPr>
        <w:t xml:space="preserve">tools for the evaluation of p16INK4a (CDKN2A) variants </w:t>
      </w:r>
      <w:r w:rsidRPr="006957A6">
        <w:rPr>
          <w:rFonts w:ascii="Times New Roman" w:hAnsi="Times New Roman" w:cs="Times New Roman"/>
          <w:b/>
          <w:sz w:val="36"/>
          <w:szCs w:val="36"/>
        </w:rPr>
        <w:t xml:space="preserve">in CAGI </w:t>
      </w:r>
    </w:p>
    <w:p w:rsidR="00BB0520" w:rsidRPr="004C26E6" w:rsidRDefault="00BB0520" w:rsidP="00BB0520">
      <w:pPr>
        <w:spacing w:line="360" w:lineRule="auto"/>
        <w:jc w:val="center"/>
        <w:rPr>
          <w:rFonts w:ascii="Times New Roman" w:hAnsi="Times New Roman" w:cs="Times New Roman"/>
          <w:sz w:val="22"/>
          <w:szCs w:val="22"/>
        </w:rPr>
      </w:pPr>
      <w:proofErr w:type="gramStart"/>
      <w:r w:rsidRPr="00C445AC">
        <w:rPr>
          <w:rFonts w:ascii="Times New Roman" w:hAnsi="Times New Roman" w:cs="Times New Roman"/>
          <w:sz w:val="22"/>
          <w:szCs w:val="22"/>
        </w:rPr>
        <w:t>Marco Carraro</w:t>
      </w:r>
      <w:r w:rsidRPr="00C445AC">
        <w:rPr>
          <w:rFonts w:ascii="Times New Roman" w:hAnsi="Times New Roman" w:cs="Times New Roman"/>
          <w:sz w:val="22"/>
          <w:szCs w:val="22"/>
          <w:vertAlign w:val="superscript"/>
        </w:rPr>
        <w:t>1</w:t>
      </w:r>
      <w:r w:rsidRPr="00C445AC">
        <w:rPr>
          <w:rFonts w:ascii="Times New Roman" w:hAnsi="Times New Roman" w:cs="Times New Roman"/>
          <w:sz w:val="22"/>
          <w:szCs w:val="22"/>
        </w:rPr>
        <w:t xml:space="preserve">, </w:t>
      </w:r>
      <w:r w:rsidRPr="004C26E6">
        <w:rPr>
          <w:rFonts w:ascii="Times New Roman" w:hAnsi="Times New Roman" w:cs="Times New Roman"/>
          <w:sz w:val="22"/>
          <w:szCs w:val="22"/>
        </w:rPr>
        <w:t>Giovanni Minervini</w:t>
      </w:r>
      <w:r w:rsidRPr="004C26E6">
        <w:rPr>
          <w:rFonts w:ascii="Times New Roman" w:hAnsi="Times New Roman" w:cs="Times New Roman"/>
          <w:sz w:val="22"/>
          <w:szCs w:val="22"/>
          <w:vertAlign w:val="superscript"/>
        </w:rPr>
        <w:t>1</w:t>
      </w:r>
      <w:r w:rsidRPr="004C26E6">
        <w:rPr>
          <w:rFonts w:ascii="Times New Roman" w:hAnsi="Times New Roman" w:cs="Times New Roman"/>
          <w:sz w:val="22"/>
          <w:szCs w:val="22"/>
        </w:rPr>
        <w:t>, Manuel Giollo</w:t>
      </w:r>
      <w:r w:rsidRPr="004C26E6">
        <w:rPr>
          <w:rFonts w:ascii="Times New Roman" w:hAnsi="Times New Roman" w:cs="Times New Roman"/>
          <w:sz w:val="22"/>
          <w:szCs w:val="22"/>
          <w:vertAlign w:val="superscript"/>
        </w:rPr>
        <w:t>1</w:t>
      </w:r>
      <w:r>
        <w:rPr>
          <w:rFonts w:ascii="Times New Roman" w:hAnsi="Times New Roman" w:cs="Times New Roman"/>
          <w:sz w:val="22"/>
          <w:szCs w:val="22"/>
          <w:vertAlign w:val="superscript"/>
        </w:rPr>
        <w:t>,2</w:t>
      </w:r>
      <w:r w:rsidRPr="004C26E6">
        <w:rPr>
          <w:rFonts w:ascii="Times New Roman" w:hAnsi="Times New Roman" w:cs="Times New Roman"/>
          <w:sz w:val="22"/>
          <w:szCs w:val="22"/>
        </w:rPr>
        <w:t>, Yana Bromberg</w:t>
      </w:r>
      <w:r w:rsidRPr="004C26E6">
        <w:rPr>
          <w:rFonts w:ascii="Times New Roman" w:hAnsi="Times New Roman" w:cs="Times New Roman"/>
          <w:sz w:val="22"/>
          <w:szCs w:val="22"/>
          <w:vertAlign w:val="superscript"/>
        </w:rPr>
        <w:t>3,4</w:t>
      </w:r>
      <w:r>
        <w:rPr>
          <w:rFonts w:ascii="Times New Roman" w:hAnsi="Times New Roman" w:cs="Times New Roman"/>
          <w:sz w:val="22"/>
          <w:szCs w:val="22"/>
          <w:vertAlign w:val="superscript"/>
        </w:rPr>
        <w:t>,5</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Emidio</w:t>
      </w:r>
      <w:proofErr w:type="spellEnd"/>
      <w:r w:rsidRPr="004C26E6">
        <w:rPr>
          <w:rFonts w:ascii="Times New Roman" w:hAnsi="Times New Roman" w:cs="Times New Roman"/>
          <w:sz w:val="22"/>
          <w:szCs w:val="22"/>
        </w:rPr>
        <w:t xml:space="preserve"> Capriotti</w:t>
      </w:r>
      <w:r>
        <w:rPr>
          <w:rFonts w:ascii="Times New Roman" w:hAnsi="Times New Roman" w:cs="Times New Roman"/>
          <w:sz w:val="22"/>
          <w:szCs w:val="22"/>
          <w:vertAlign w:val="superscript"/>
        </w:rPr>
        <w:t>6</w:t>
      </w:r>
      <w:r w:rsidRPr="004C26E6">
        <w:rPr>
          <w:rFonts w:ascii="Times New Roman" w:hAnsi="Times New Roman" w:cs="Times New Roman"/>
          <w:sz w:val="22"/>
          <w:szCs w:val="22"/>
        </w:rPr>
        <w:t>, Rita Casadio</w:t>
      </w:r>
      <w:r>
        <w:rPr>
          <w:rFonts w:ascii="Times New Roman" w:hAnsi="Times New Roman" w:cs="Times New Roman"/>
          <w:sz w:val="22"/>
          <w:szCs w:val="22"/>
          <w:vertAlign w:val="superscript"/>
        </w:rPr>
        <w:t>7</w:t>
      </w:r>
      <w:r w:rsidRPr="004C26E6">
        <w:rPr>
          <w:rFonts w:ascii="Times New Roman" w:hAnsi="Times New Roman" w:cs="Times New Roman"/>
          <w:sz w:val="22"/>
          <w:szCs w:val="22"/>
        </w:rPr>
        <w:t>, Roland Dunbrack</w:t>
      </w:r>
      <w:r>
        <w:rPr>
          <w:rFonts w:ascii="Times New Roman" w:hAnsi="Times New Roman" w:cs="Times New Roman"/>
          <w:sz w:val="22"/>
          <w:szCs w:val="22"/>
          <w:vertAlign w:val="superscript"/>
        </w:rPr>
        <w:t>8</w:t>
      </w:r>
      <w:r w:rsidRPr="004C26E6">
        <w:rPr>
          <w:rFonts w:ascii="Times New Roman" w:hAnsi="Times New Roman" w:cs="Times New Roman"/>
          <w:sz w:val="22"/>
          <w:szCs w:val="22"/>
        </w:rPr>
        <w:t>, Lisa Elefanti</w:t>
      </w:r>
      <w:r>
        <w:rPr>
          <w:rFonts w:ascii="Times New Roman" w:hAnsi="Times New Roman" w:cs="Times New Roman"/>
          <w:sz w:val="22"/>
          <w:szCs w:val="22"/>
          <w:vertAlign w:val="superscript"/>
        </w:rPr>
        <w:t>9</w:t>
      </w:r>
      <w:r w:rsidRPr="004C26E6">
        <w:rPr>
          <w:rFonts w:ascii="Times New Roman" w:hAnsi="Times New Roman" w:cs="Times New Roman"/>
          <w:sz w:val="22"/>
          <w:szCs w:val="22"/>
        </w:rPr>
        <w:t>, Pietro Fariselli</w:t>
      </w:r>
      <w:r>
        <w:rPr>
          <w:rFonts w:ascii="Times New Roman" w:hAnsi="Times New Roman" w:cs="Times New Roman"/>
          <w:sz w:val="22"/>
          <w:szCs w:val="22"/>
          <w:vertAlign w:val="superscript"/>
        </w:rPr>
        <w:t>10</w:t>
      </w:r>
      <w:r w:rsidRPr="004C26E6">
        <w:rPr>
          <w:rFonts w:ascii="Times New Roman" w:hAnsi="Times New Roman" w:cs="Times New Roman"/>
          <w:sz w:val="22"/>
          <w:szCs w:val="22"/>
        </w:rPr>
        <w:t>, Carlo Ferrari</w:t>
      </w:r>
      <w:r>
        <w:rPr>
          <w:rFonts w:ascii="Times New Roman" w:hAnsi="Times New Roman" w:cs="Times New Roman"/>
          <w:sz w:val="22"/>
          <w:szCs w:val="22"/>
          <w:vertAlign w:val="superscript"/>
        </w:rPr>
        <w:t>2</w:t>
      </w:r>
      <w:r w:rsidRPr="004C26E6">
        <w:rPr>
          <w:rFonts w:ascii="Times New Roman" w:hAnsi="Times New Roman" w:cs="Times New Roman"/>
          <w:sz w:val="22"/>
          <w:szCs w:val="22"/>
        </w:rPr>
        <w:t>, Julian Gough</w:t>
      </w:r>
      <w:r w:rsidRPr="004C26E6">
        <w:rPr>
          <w:rFonts w:ascii="Times New Roman" w:hAnsi="Times New Roman" w:cs="Times New Roman"/>
          <w:sz w:val="22"/>
          <w:szCs w:val="22"/>
          <w:vertAlign w:val="superscript"/>
        </w:rPr>
        <w:t>11</w:t>
      </w:r>
      <w:r w:rsidRPr="004C26E6">
        <w:rPr>
          <w:rFonts w:ascii="Times New Roman" w:hAnsi="Times New Roman" w:cs="Times New Roman"/>
          <w:sz w:val="22"/>
          <w:szCs w:val="22"/>
        </w:rPr>
        <w:t>, Roger Hoskins</w:t>
      </w:r>
      <w:r w:rsidRPr="004C26E6">
        <w:rPr>
          <w:rFonts w:ascii="Times New Roman" w:hAnsi="Times New Roman" w:cs="Times New Roman"/>
          <w:sz w:val="22"/>
          <w:szCs w:val="22"/>
          <w:vertAlign w:val="superscript"/>
        </w:rPr>
        <w:t>12</w:t>
      </w:r>
      <w:r w:rsidRPr="004C26E6">
        <w:rPr>
          <w:rFonts w:ascii="Times New Roman" w:hAnsi="Times New Roman" w:cs="Times New Roman"/>
          <w:sz w:val="22"/>
          <w:szCs w:val="22"/>
        </w:rPr>
        <w:t>, Panagiotis Katsonis</w:t>
      </w:r>
      <w:r w:rsidRPr="004C26E6">
        <w:rPr>
          <w:rFonts w:ascii="Times New Roman" w:hAnsi="Times New Roman" w:cs="Times New Roman"/>
          <w:sz w:val="22"/>
          <w:szCs w:val="22"/>
          <w:vertAlign w:val="superscript"/>
        </w:rPr>
        <w:t>13</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Emanuela</w:t>
      </w:r>
      <w:proofErr w:type="spellEnd"/>
      <w:r w:rsidRPr="004C26E6">
        <w:rPr>
          <w:rFonts w:ascii="Times New Roman" w:hAnsi="Times New Roman" w:cs="Times New Roman"/>
          <w:sz w:val="22"/>
          <w:szCs w:val="22"/>
        </w:rPr>
        <w:t xml:space="preserve"> Leonardi</w:t>
      </w:r>
      <w:r w:rsidRPr="004C26E6">
        <w:rPr>
          <w:rFonts w:ascii="Times New Roman" w:hAnsi="Times New Roman" w:cs="Times New Roman"/>
          <w:sz w:val="22"/>
          <w:szCs w:val="22"/>
          <w:vertAlign w:val="superscript"/>
        </w:rPr>
        <w:t>14</w:t>
      </w:r>
      <w:r w:rsidRPr="004C26E6">
        <w:rPr>
          <w:rFonts w:ascii="Times New Roman" w:hAnsi="Times New Roman" w:cs="Times New Roman"/>
          <w:sz w:val="22"/>
          <w:szCs w:val="22"/>
        </w:rPr>
        <w:t>, Olivier Lichtarge</w:t>
      </w:r>
      <w:r w:rsidRPr="004C26E6">
        <w:rPr>
          <w:rFonts w:ascii="Times New Roman" w:hAnsi="Times New Roman" w:cs="Times New Roman"/>
          <w:sz w:val="22"/>
          <w:szCs w:val="22"/>
          <w:vertAlign w:val="superscript"/>
        </w:rPr>
        <w:t>13,15,16,17</w:t>
      </w:r>
      <w:r w:rsidRPr="004C26E6">
        <w:rPr>
          <w:rFonts w:ascii="Times New Roman" w:hAnsi="Times New Roman" w:cs="Times New Roman"/>
          <w:sz w:val="22"/>
          <w:szCs w:val="22"/>
        </w:rPr>
        <w:t>, Chiara Menin</w:t>
      </w:r>
      <w:r>
        <w:rPr>
          <w:rFonts w:ascii="Times New Roman" w:hAnsi="Times New Roman" w:cs="Times New Roman"/>
          <w:sz w:val="22"/>
          <w:szCs w:val="22"/>
          <w:vertAlign w:val="superscript"/>
        </w:rPr>
        <w:t>9</w:t>
      </w:r>
      <w:r w:rsidRPr="004C26E6">
        <w:rPr>
          <w:rFonts w:ascii="Times New Roman" w:hAnsi="Times New Roman" w:cs="Times New Roman"/>
          <w:sz w:val="22"/>
          <w:szCs w:val="22"/>
        </w:rPr>
        <w:t>, Pier Luigi Martelli</w:t>
      </w:r>
      <w:r w:rsidRPr="004C26E6">
        <w:rPr>
          <w:rFonts w:ascii="Times New Roman" w:hAnsi="Times New Roman" w:cs="Times New Roman"/>
          <w:sz w:val="22"/>
          <w:szCs w:val="22"/>
          <w:vertAlign w:val="superscript"/>
        </w:rPr>
        <w:t>6</w:t>
      </w:r>
      <w:r w:rsidRPr="004C26E6">
        <w:rPr>
          <w:rFonts w:ascii="Times New Roman" w:hAnsi="Times New Roman" w:cs="Times New Roman"/>
          <w:sz w:val="22"/>
          <w:szCs w:val="22"/>
        </w:rPr>
        <w:t>, Abhishek Niroula</w:t>
      </w:r>
      <w:r>
        <w:rPr>
          <w:rFonts w:ascii="Times New Roman" w:hAnsi="Times New Roman" w:cs="Times New Roman"/>
          <w:sz w:val="22"/>
          <w:szCs w:val="22"/>
          <w:vertAlign w:val="superscript"/>
        </w:rPr>
        <w:t>18</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Lipika</w:t>
      </w:r>
      <w:proofErr w:type="spellEnd"/>
      <w:r w:rsidRPr="004C26E6">
        <w:rPr>
          <w:rFonts w:ascii="Times New Roman" w:hAnsi="Times New Roman" w:cs="Times New Roman"/>
          <w:sz w:val="22"/>
          <w:szCs w:val="22"/>
        </w:rPr>
        <w:t xml:space="preserve"> R. Pal</w:t>
      </w:r>
      <w:r>
        <w:rPr>
          <w:rFonts w:ascii="Times New Roman" w:hAnsi="Times New Roman" w:cs="Times New Roman"/>
          <w:sz w:val="22"/>
          <w:szCs w:val="22"/>
          <w:vertAlign w:val="superscript"/>
        </w:rPr>
        <w:t>19</w:t>
      </w:r>
      <w:r w:rsidRPr="004C26E6">
        <w:rPr>
          <w:rFonts w:ascii="Times New Roman" w:hAnsi="Times New Roman" w:cs="Times New Roman"/>
          <w:sz w:val="22"/>
          <w:szCs w:val="22"/>
        </w:rPr>
        <w:t>, Susanna Repo</w:t>
      </w:r>
      <w:r>
        <w:rPr>
          <w:rFonts w:ascii="Times New Roman" w:hAnsi="Times New Roman" w:cs="Times New Roman"/>
          <w:sz w:val="22"/>
          <w:szCs w:val="22"/>
          <w:vertAlign w:val="superscript"/>
        </w:rPr>
        <w:t>20</w:t>
      </w:r>
      <w:r w:rsidRPr="004C26E6">
        <w:rPr>
          <w:rFonts w:ascii="Times New Roman" w:hAnsi="Times New Roman" w:cs="Times New Roman"/>
          <w:sz w:val="22"/>
          <w:szCs w:val="22"/>
        </w:rPr>
        <w:t>, Maria Chiara Scaini</w:t>
      </w:r>
      <w:r>
        <w:rPr>
          <w:rFonts w:ascii="Times New Roman" w:hAnsi="Times New Roman" w:cs="Times New Roman"/>
          <w:sz w:val="22"/>
          <w:szCs w:val="22"/>
          <w:vertAlign w:val="superscript"/>
        </w:rPr>
        <w:t>9</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Mauno</w:t>
      </w:r>
      <w:proofErr w:type="spellEnd"/>
      <w:r w:rsidRPr="004C26E6">
        <w:rPr>
          <w:rFonts w:ascii="Times New Roman" w:hAnsi="Times New Roman" w:cs="Times New Roman"/>
          <w:sz w:val="22"/>
          <w:szCs w:val="22"/>
        </w:rPr>
        <w:t xml:space="preserve"> Vihinen</w:t>
      </w:r>
      <w:r>
        <w:rPr>
          <w:rFonts w:ascii="Times New Roman" w:hAnsi="Times New Roman" w:cs="Times New Roman"/>
          <w:sz w:val="22"/>
          <w:szCs w:val="22"/>
          <w:vertAlign w:val="superscript"/>
        </w:rPr>
        <w:t>18</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Qiong</w:t>
      </w:r>
      <w:proofErr w:type="spellEnd"/>
      <w:r w:rsidRPr="004C26E6">
        <w:rPr>
          <w:rFonts w:ascii="Times New Roman" w:hAnsi="Times New Roman" w:cs="Times New Roman"/>
          <w:sz w:val="22"/>
          <w:szCs w:val="22"/>
        </w:rPr>
        <w:t xml:space="preserve"> Wei</w:t>
      </w:r>
      <w:r w:rsidRPr="004C26E6">
        <w:rPr>
          <w:rFonts w:ascii="Times New Roman" w:hAnsi="Times New Roman" w:cs="Times New Roman"/>
          <w:sz w:val="22"/>
          <w:szCs w:val="22"/>
          <w:vertAlign w:val="superscript"/>
        </w:rPr>
        <w:t>7</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Qifang</w:t>
      </w:r>
      <w:proofErr w:type="spellEnd"/>
      <w:r w:rsidRPr="004C26E6">
        <w:rPr>
          <w:rFonts w:ascii="Times New Roman" w:hAnsi="Times New Roman" w:cs="Times New Roman"/>
          <w:sz w:val="22"/>
          <w:szCs w:val="22"/>
        </w:rPr>
        <w:t xml:space="preserve"> Xu</w:t>
      </w:r>
      <w:r w:rsidRPr="004C26E6">
        <w:rPr>
          <w:rFonts w:ascii="Times New Roman" w:hAnsi="Times New Roman" w:cs="Times New Roman"/>
          <w:sz w:val="22"/>
          <w:szCs w:val="22"/>
          <w:vertAlign w:val="superscript"/>
        </w:rPr>
        <w:t>7</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Yuedong</w:t>
      </w:r>
      <w:proofErr w:type="spellEnd"/>
      <w:r w:rsidRPr="004C26E6">
        <w:rPr>
          <w:rFonts w:ascii="Times New Roman" w:hAnsi="Times New Roman" w:cs="Times New Roman"/>
          <w:sz w:val="22"/>
          <w:szCs w:val="22"/>
        </w:rPr>
        <w:t xml:space="preserve"> Yang</w:t>
      </w:r>
      <w:r>
        <w:rPr>
          <w:rFonts w:ascii="Times New Roman" w:hAnsi="Times New Roman" w:cs="Times New Roman"/>
          <w:sz w:val="22"/>
          <w:szCs w:val="22"/>
          <w:vertAlign w:val="superscript"/>
        </w:rPr>
        <w:t>21</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Yizhou</w:t>
      </w:r>
      <w:proofErr w:type="spellEnd"/>
      <w:r w:rsidRPr="004C26E6">
        <w:rPr>
          <w:rFonts w:ascii="Times New Roman" w:hAnsi="Times New Roman" w:cs="Times New Roman"/>
          <w:sz w:val="22"/>
          <w:szCs w:val="22"/>
        </w:rPr>
        <w:t xml:space="preserve"> Yin</w:t>
      </w:r>
      <w:r>
        <w:rPr>
          <w:rFonts w:ascii="Times New Roman" w:hAnsi="Times New Roman" w:cs="Times New Roman"/>
          <w:sz w:val="22"/>
          <w:szCs w:val="22"/>
          <w:vertAlign w:val="superscript"/>
        </w:rPr>
        <w:t>19,22</w:t>
      </w:r>
      <w:r w:rsidRPr="004C26E6">
        <w:rPr>
          <w:rFonts w:ascii="Times New Roman" w:hAnsi="Times New Roman" w:cs="Times New Roman"/>
          <w:sz w:val="22"/>
          <w:szCs w:val="22"/>
        </w:rPr>
        <w:t>, Jan Zaucha</w:t>
      </w:r>
      <w:r w:rsidRPr="004C26E6">
        <w:rPr>
          <w:rFonts w:ascii="Times New Roman" w:hAnsi="Times New Roman" w:cs="Times New Roman"/>
          <w:sz w:val="22"/>
          <w:szCs w:val="22"/>
          <w:vertAlign w:val="superscript"/>
        </w:rPr>
        <w:t>11</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Huiying</w:t>
      </w:r>
      <w:proofErr w:type="spellEnd"/>
      <w:r w:rsidRPr="004C26E6">
        <w:rPr>
          <w:rFonts w:ascii="Times New Roman" w:hAnsi="Times New Roman" w:cs="Times New Roman"/>
          <w:sz w:val="22"/>
          <w:szCs w:val="22"/>
        </w:rPr>
        <w:t xml:space="preserve"> Zhao</w:t>
      </w:r>
      <w:r>
        <w:rPr>
          <w:rFonts w:ascii="Times New Roman" w:hAnsi="Times New Roman" w:cs="Times New Roman"/>
          <w:sz w:val="22"/>
          <w:szCs w:val="22"/>
          <w:vertAlign w:val="superscript"/>
        </w:rPr>
        <w:t>23</w:t>
      </w:r>
      <w:r w:rsidRPr="004C26E6">
        <w:rPr>
          <w:rFonts w:ascii="Times New Roman" w:hAnsi="Times New Roman" w:cs="Times New Roman"/>
          <w:sz w:val="22"/>
          <w:szCs w:val="22"/>
        </w:rPr>
        <w:t xml:space="preserve">, </w:t>
      </w:r>
      <w:proofErr w:type="spellStart"/>
      <w:r w:rsidRPr="004C26E6">
        <w:rPr>
          <w:rFonts w:ascii="Times New Roman" w:hAnsi="Times New Roman" w:cs="Times New Roman"/>
          <w:sz w:val="22"/>
          <w:szCs w:val="22"/>
        </w:rPr>
        <w:t>Yaoqi</w:t>
      </w:r>
      <w:proofErr w:type="spellEnd"/>
      <w:r w:rsidRPr="004C26E6">
        <w:rPr>
          <w:rFonts w:ascii="Times New Roman" w:hAnsi="Times New Roman" w:cs="Times New Roman"/>
          <w:sz w:val="22"/>
          <w:szCs w:val="22"/>
        </w:rPr>
        <w:t xml:space="preserve"> Zhou</w:t>
      </w:r>
      <w:r>
        <w:rPr>
          <w:rFonts w:ascii="Times New Roman" w:hAnsi="Times New Roman" w:cs="Times New Roman"/>
          <w:sz w:val="22"/>
          <w:szCs w:val="22"/>
          <w:vertAlign w:val="superscript"/>
        </w:rPr>
        <w:t>21</w:t>
      </w:r>
      <w:r w:rsidRPr="004C26E6">
        <w:rPr>
          <w:rFonts w:ascii="Times New Roman" w:hAnsi="Times New Roman" w:cs="Times New Roman"/>
          <w:sz w:val="22"/>
          <w:szCs w:val="22"/>
        </w:rPr>
        <w:t>, Steven E. Brenner</w:t>
      </w:r>
      <w:r w:rsidRPr="004C26E6">
        <w:rPr>
          <w:rFonts w:ascii="Times New Roman" w:hAnsi="Times New Roman" w:cs="Times New Roman"/>
          <w:sz w:val="22"/>
          <w:szCs w:val="22"/>
          <w:vertAlign w:val="superscript"/>
        </w:rPr>
        <w:t>12</w:t>
      </w:r>
      <w:r w:rsidRPr="004C26E6">
        <w:rPr>
          <w:rFonts w:ascii="Times New Roman" w:hAnsi="Times New Roman" w:cs="Times New Roman"/>
          <w:sz w:val="22"/>
          <w:szCs w:val="22"/>
        </w:rPr>
        <w:t>, John Moult</w:t>
      </w:r>
      <w:r>
        <w:rPr>
          <w:rFonts w:ascii="Times New Roman" w:hAnsi="Times New Roman" w:cs="Times New Roman"/>
          <w:sz w:val="22"/>
          <w:szCs w:val="22"/>
          <w:vertAlign w:val="superscript"/>
        </w:rPr>
        <w:t>19,24</w:t>
      </w:r>
      <w:r w:rsidRPr="004C26E6">
        <w:rPr>
          <w:rFonts w:ascii="Times New Roman" w:hAnsi="Times New Roman" w:cs="Times New Roman"/>
          <w:sz w:val="22"/>
          <w:szCs w:val="22"/>
        </w:rPr>
        <w:t>, Silvio C.E. Tosatto</w:t>
      </w:r>
      <w:r>
        <w:rPr>
          <w:rFonts w:ascii="Times New Roman" w:hAnsi="Times New Roman" w:cs="Times New Roman"/>
          <w:sz w:val="22"/>
          <w:szCs w:val="22"/>
          <w:vertAlign w:val="superscript"/>
        </w:rPr>
        <w:t>1,25,</w:t>
      </w:r>
      <w:r w:rsidRPr="004C26E6">
        <w:rPr>
          <w:rFonts w:ascii="Times New Roman" w:hAnsi="Times New Roman" w:cs="Times New Roman"/>
          <w:sz w:val="22"/>
          <w:szCs w:val="22"/>
          <w:vertAlign w:val="superscript"/>
        </w:rPr>
        <w:t>*</w:t>
      </w:r>
      <w:r w:rsidRPr="004C26E6">
        <w:rPr>
          <w:rFonts w:ascii="Times New Roman" w:hAnsi="Times New Roman" w:cs="Times New Roman"/>
          <w:sz w:val="22"/>
          <w:szCs w:val="22"/>
        </w:rPr>
        <w:t>.</w:t>
      </w:r>
      <w:proofErr w:type="gramEnd"/>
    </w:p>
    <w:p w:rsidR="00BB0520" w:rsidRPr="004C26E6" w:rsidRDefault="00BB0520" w:rsidP="00BB0520">
      <w:pPr>
        <w:spacing w:line="276" w:lineRule="auto"/>
        <w:rPr>
          <w:rFonts w:ascii="Times New Roman" w:hAnsi="Times New Roman" w:cs="Times New Roman"/>
          <w:i/>
          <w:sz w:val="20"/>
          <w:szCs w:val="20"/>
        </w:rPr>
      </w:pPr>
    </w:p>
    <w:p w:rsidR="00BB0520" w:rsidRPr="004C26E6" w:rsidRDefault="00BB0520" w:rsidP="00BB0520">
      <w:pPr>
        <w:spacing w:line="276" w:lineRule="auto"/>
        <w:rPr>
          <w:rFonts w:ascii="Times New Roman" w:hAnsi="Times New Roman" w:cs="Times New Roman"/>
          <w:i/>
          <w:sz w:val="20"/>
          <w:szCs w:val="20"/>
        </w:rPr>
      </w:pPr>
    </w:p>
    <w:p w:rsidR="00BB0520" w:rsidRPr="00BE3290" w:rsidRDefault="00BB0520" w:rsidP="00BB0520">
      <w:pPr>
        <w:spacing w:line="276" w:lineRule="auto"/>
        <w:rPr>
          <w:rFonts w:ascii="Times New Roman" w:hAnsi="Times New Roman" w:cs="Times New Roman"/>
          <w:i/>
          <w:sz w:val="20"/>
          <w:szCs w:val="20"/>
        </w:rPr>
      </w:pPr>
      <w:proofErr w:type="gramStart"/>
      <w:r w:rsidRPr="00BE3290">
        <w:rPr>
          <w:rFonts w:ascii="Times New Roman" w:hAnsi="Times New Roman" w:cs="Times New Roman"/>
          <w:i/>
          <w:sz w:val="20"/>
          <w:szCs w:val="20"/>
        </w:rPr>
        <w:t>1</w:t>
      </w:r>
      <w:proofErr w:type="gramEnd"/>
      <w:r w:rsidRPr="00BE3290">
        <w:rPr>
          <w:rFonts w:ascii="Times New Roman" w:hAnsi="Times New Roman" w:cs="Times New Roman"/>
          <w:i/>
          <w:sz w:val="20"/>
          <w:szCs w:val="20"/>
        </w:rPr>
        <w:t xml:space="preserve"> Department of Biomedical Sciences University of </w:t>
      </w:r>
      <w:proofErr w:type="spellStart"/>
      <w:r w:rsidRPr="00BE3290">
        <w:rPr>
          <w:rFonts w:ascii="Times New Roman" w:hAnsi="Times New Roman" w:cs="Times New Roman"/>
          <w:i/>
          <w:sz w:val="20"/>
          <w:szCs w:val="20"/>
        </w:rPr>
        <w:t>Padova</w:t>
      </w:r>
      <w:proofErr w:type="spellEnd"/>
      <w:r w:rsidRPr="00BE3290">
        <w:rPr>
          <w:rFonts w:ascii="Times New Roman" w:hAnsi="Times New Roman" w:cs="Times New Roman"/>
          <w:i/>
          <w:sz w:val="20"/>
          <w:szCs w:val="20"/>
        </w:rPr>
        <w:t xml:space="preserve">, </w:t>
      </w:r>
      <w:proofErr w:type="spellStart"/>
      <w:r w:rsidRPr="00BE3290">
        <w:rPr>
          <w:rFonts w:ascii="Times New Roman" w:hAnsi="Times New Roman" w:cs="Times New Roman"/>
          <w:i/>
          <w:sz w:val="20"/>
          <w:szCs w:val="20"/>
        </w:rPr>
        <w:t>Viale</w:t>
      </w:r>
      <w:proofErr w:type="spellEnd"/>
      <w:r w:rsidRPr="00BE3290">
        <w:rPr>
          <w:rFonts w:ascii="Times New Roman" w:hAnsi="Times New Roman" w:cs="Times New Roman"/>
          <w:i/>
          <w:sz w:val="20"/>
          <w:szCs w:val="20"/>
        </w:rPr>
        <w:t xml:space="preserve"> G. Colombo 3, 35121, </w:t>
      </w:r>
      <w:proofErr w:type="spellStart"/>
      <w:r w:rsidRPr="00BE3290">
        <w:rPr>
          <w:rFonts w:ascii="Times New Roman" w:hAnsi="Times New Roman" w:cs="Times New Roman"/>
          <w:i/>
          <w:sz w:val="20"/>
          <w:szCs w:val="20"/>
        </w:rPr>
        <w:t>Padova</w:t>
      </w:r>
      <w:proofErr w:type="spellEnd"/>
      <w:r w:rsidRPr="00BE3290">
        <w:rPr>
          <w:rFonts w:ascii="Times New Roman" w:hAnsi="Times New Roman" w:cs="Times New Roman"/>
          <w:i/>
          <w:sz w:val="20"/>
          <w:szCs w:val="20"/>
        </w:rPr>
        <w:t>, Italy.</w:t>
      </w:r>
    </w:p>
    <w:p w:rsidR="00BB0520" w:rsidRPr="00BE3290" w:rsidRDefault="00BB0520" w:rsidP="00BB0520">
      <w:pPr>
        <w:spacing w:line="276" w:lineRule="auto"/>
        <w:rPr>
          <w:rFonts w:ascii="Times New Roman" w:hAnsi="Times New Roman" w:cs="Times New Roman"/>
          <w:i/>
          <w:sz w:val="20"/>
          <w:szCs w:val="20"/>
        </w:rPr>
      </w:pPr>
      <w:proofErr w:type="gramStart"/>
      <w:r w:rsidRPr="00BE3290">
        <w:rPr>
          <w:rFonts w:ascii="Times New Roman" w:hAnsi="Times New Roman" w:cs="Times New Roman"/>
          <w:i/>
          <w:sz w:val="20"/>
          <w:szCs w:val="20"/>
        </w:rPr>
        <w:t>2</w:t>
      </w:r>
      <w:proofErr w:type="gramEnd"/>
      <w:r w:rsidRPr="00BE3290">
        <w:rPr>
          <w:rFonts w:ascii="Times New Roman" w:hAnsi="Times New Roman" w:cs="Times New Roman"/>
          <w:i/>
          <w:sz w:val="20"/>
          <w:szCs w:val="20"/>
        </w:rPr>
        <w:t xml:space="preserve"> Department of Information Engineering, University of </w:t>
      </w:r>
      <w:proofErr w:type="spellStart"/>
      <w:r w:rsidRPr="00BE3290">
        <w:rPr>
          <w:rFonts w:ascii="Times New Roman" w:hAnsi="Times New Roman" w:cs="Times New Roman"/>
          <w:i/>
          <w:sz w:val="20"/>
          <w:szCs w:val="20"/>
        </w:rPr>
        <w:t>Padova</w:t>
      </w:r>
      <w:proofErr w:type="spellEnd"/>
      <w:r w:rsidRPr="00BE3290">
        <w:rPr>
          <w:rFonts w:ascii="Times New Roman" w:hAnsi="Times New Roman" w:cs="Times New Roman"/>
          <w:i/>
          <w:sz w:val="20"/>
          <w:szCs w:val="20"/>
        </w:rPr>
        <w:t xml:space="preserve">, Via </w:t>
      </w:r>
      <w:proofErr w:type="spellStart"/>
      <w:r w:rsidRPr="00BE3290">
        <w:rPr>
          <w:rFonts w:ascii="Times New Roman" w:hAnsi="Times New Roman" w:cs="Times New Roman"/>
          <w:i/>
          <w:sz w:val="20"/>
          <w:szCs w:val="20"/>
        </w:rPr>
        <w:t>Gradenigo</w:t>
      </w:r>
      <w:proofErr w:type="spellEnd"/>
      <w:r w:rsidRPr="00BE3290">
        <w:rPr>
          <w:rFonts w:ascii="Times New Roman" w:hAnsi="Times New Roman" w:cs="Times New Roman"/>
          <w:i/>
          <w:sz w:val="20"/>
          <w:szCs w:val="20"/>
        </w:rPr>
        <w:t xml:space="preserve"> 6, 35121 </w:t>
      </w:r>
      <w:proofErr w:type="spellStart"/>
      <w:r w:rsidRPr="00BE3290">
        <w:rPr>
          <w:rFonts w:ascii="Times New Roman" w:hAnsi="Times New Roman" w:cs="Times New Roman"/>
          <w:i/>
          <w:sz w:val="20"/>
          <w:szCs w:val="20"/>
        </w:rPr>
        <w:t>Padova</w:t>
      </w:r>
      <w:proofErr w:type="spellEnd"/>
      <w:r w:rsidRPr="00BE3290">
        <w:rPr>
          <w:rFonts w:ascii="Times New Roman" w:hAnsi="Times New Roman" w:cs="Times New Roman"/>
          <w:i/>
          <w:sz w:val="20"/>
          <w:szCs w:val="20"/>
        </w:rPr>
        <w:t>, Italy.</w:t>
      </w:r>
    </w:p>
    <w:p w:rsidR="00BB0520" w:rsidRPr="00BE3290" w:rsidRDefault="00BB0520" w:rsidP="00BB0520">
      <w:pPr>
        <w:spacing w:line="276" w:lineRule="auto"/>
        <w:rPr>
          <w:rFonts w:ascii="Times New Roman" w:hAnsi="Times New Roman" w:cs="Times New Roman"/>
          <w:i/>
          <w:sz w:val="20"/>
          <w:szCs w:val="20"/>
        </w:rPr>
      </w:pPr>
      <w:r w:rsidRPr="00BE3290">
        <w:rPr>
          <w:rFonts w:ascii="Times New Roman" w:hAnsi="Times New Roman" w:cs="Times New Roman"/>
          <w:i/>
          <w:sz w:val="20"/>
          <w:szCs w:val="20"/>
        </w:rPr>
        <w:t xml:space="preserve">3 Department of Biochemistry and Microbiology, Rutgers University, 76 </w:t>
      </w:r>
      <w:proofErr w:type="spellStart"/>
      <w:r w:rsidRPr="00BE3290">
        <w:rPr>
          <w:rFonts w:ascii="Times New Roman" w:hAnsi="Times New Roman" w:cs="Times New Roman"/>
          <w:i/>
          <w:sz w:val="20"/>
          <w:szCs w:val="20"/>
        </w:rPr>
        <w:t>Lipman</w:t>
      </w:r>
      <w:proofErr w:type="spellEnd"/>
      <w:r w:rsidRPr="00BE3290">
        <w:rPr>
          <w:rFonts w:ascii="Times New Roman" w:hAnsi="Times New Roman" w:cs="Times New Roman"/>
          <w:i/>
          <w:sz w:val="20"/>
          <w:szCs w:val="20"/>
        </w:rPr>
        <w:t xml:space="preserve"> </w:t>
      </w:r>
      <w:proofErr w:type="spellStart"/>
      <w:r w:rsidRPr="00BE3290">
        <w:rPr>
          <w:rFonts w:ascii="Times New Roman" w:hAnsi="Times New Roman" w:cs="Times New Roman"/>
          <w:i/>
          <w:sz w:val="20"/>
          <w:szCs w:val="20"/>
        </w:rPr>
        <w:t>Dr</w:t>
      </w:r>
      <w:proofErr w:type="spellEnd"/>
      <w:r w:rsidRPr="00BE3290">
        <w:rPr>
          <w:rFonts w:ascii="Times New Roman" w:hAnsi="Times New Roman" w:cs="Times New Roman"/>
          <w:i/>
          <w:sz w:val="20"/>
          <w:szCs w:val="20"/>
        </w:rPr>
        <w:t>, New Brunswick, NJ 08901, USA.</w:t>
      </w:r>
      <w:r w:rsidRPr="00BE3290">
        <w:rPr>
          <w:rFonts w:ascii="Times New Roman" w:hAnsi="Times New Roman" w:cs="Times New Roman"/>
          <w:i/>
          <w:sz w:val="20"/>
          <w:szCs w:val="20"/>
        </w:rPr>
        <w:br/>
      </w:r>
      <w:proofErr w:type="gramStart"/>
      <w:r w:rsidRPr="00BE3290">
        <w:rPr>
          <w:rFonts w:ascii="Times New Roman" w:hAnsi="Times New Roman" w:cs="Times New Roman"/>
          <w:i/>
          <w:sz w:val="20"/>
          <w:szCs w:val="20"/>
        </w:rPr>
        <w:t>4</w:t>
      </w:r>
      <w:proofErr w:type="gramEnd"/>
      <w:r w:rsidRPr="00BE3290">
        <w:rPr>
          <w:rFonts w:ascii="Times New Roman" w:hAnsi="Times New Roman" w:cs="Times New Roman"/>
          <w:i/>
          <w:sz w:val="20"/>
          <w:szCs w:val="20"/>
        </w:rPr>
        <w:t xml:space="preserve"> Department of Genetics, Rutgers University, 145 Bevier Rd, Piscataway, NJ 08854, USA.</w:t>
      </w:r>
      <w:r w:rsidRPr="00BE3290">
        <w:rPr>
          <w:rFonts w:ascii="Times New Roman" w:hAnsi="Times New Roman" w:cs="Times New Roman"/>
          <w:i/>
          <w:sz w:val="20"/>
          <w:szCs w:val="20"/>
        </w:rPr>
        <w:br/>
      </w:r>
      <w:proofErr w:type="gramStart"/>
      <w:r w:rsidRPr="00BE3290">
        <w:rPr>
          <w:rFonts w:ascii="Times New Roman" w:hAnsi="Times New Roman" w:cs="Times New Roman"/>
          <w:i/>
          <w:sz w:val="20"/>
          <w:szCs w:val="20"/>
        </w:rPr>
        <w:t>5</w:t>
      </w:r>
      <w:proofErr w:type="gramEnd"/>
      <w:r w:rsidRPr="00BE3290">
        <w:rPr>
          <w:rFonts w:ascii="Times New Roman" w:hAnsi="Times New Roman" w:cs="Times New Roman"/>
          <w:i/>
          <w:sz w:val="20"/>
          <w:szCs w:val="20"/>
        </w:rPr>
        <w:t xml:space="preserve"> Technical University of Munich Institute for Advanced Study, (TUM-IAS), </w:t>
      </w:r>
      <w:proofErr w:type="spellStart"/>
      <w:r w:rsidRPr="00BE3290">
        <w:rPr>
          <w:rFonts w:ascii="Times New Roman" w:hAnsi="Times New Roman" w:cs="Times New Roman"/>
          <w:i/>
          <w:sz w:val="20"/>
          <w:szCs w:val="20"/>
        </w:rPr>
        <w:t>Lichtenbergstr</w:t>
      </w:r>
      <w:proofErr w:type="spellEnd"/>
      <w:r w:rsidRPr="00BE3290">
        <w:rPr>
          <w:rFonts w:ascii="Times New Roman" w:hAnsi="Times New Roman" w:cs="Times New Roman"/>
          <w:i/>
          <w:sz w:val="20"/>
          <w:szCs w:val="20"/>
        </w:rPr>
        <w:t xml:space="preserve">. 2a, 85748 </w:t>
      </w:r>
      <w:proofErr w:type="spellStart"/>
      <w:r w:rsidRPr="00BE3290">
        <w:rPr>
          <w:rFonts w:ascii="Times New Roman" w:hAnsi="Times New Roman" w:cs="Times New Roman"/>
          <w:i/>
          <w:sz w:val="20"/>
          <w:szCs w:val="20"/>
        </w:rPr>
        <w:t>Garching</w:t>
      </w:r>
      <w:proofErr w:type="spellEnd"/>
      <w:r w:rsidRPr="00BE3290">
        <w:rPr>
          <w:rFonts w:ascii="Times New Roman" w:hAnsi="Times New Roman" w:cs="Times New Roman"/>
          <w:i/>
          <w:sz w:val="20"/>
          <w:szCs w:val="20"/>
        </w:rPr>
        <w:t>/Munich, Germany.</w:t>
      </w:r>
    </w:p>
    <w:p w:rsidR="00BB0520" w:rsidRPr="00BE3290" w:rsidRDefault="00BB0520" w:rsidP="00BB0520">
      <w:pPr>
        <w:spacing w:line="276" w:lineRule="auto"/>
        <w:rPr>
          <w:rFonts w:ascii="Times New Roman" w:eastAsia="Times New Roman" w:hAnsi="Times New Roman" w:cs="Times New Roman"/>
          <w:i/>
          <w:sz w:val="20"/>
          <w:szCs w:val="20"/>
          <w:lang w:eastAsia="it-IT"/>
        </w:rPr>
      </w:pPr>
      <w:proofErr w:type="gramStart"/>
      <w:r w:rsidRPr="00BE3290">
        <w:rPr>
          <w:rFonts w:ascii="Times New Roman" w:eastAsia="Times New Roman" w:hAnsi="Times New Roman" w:cs="Times New Roman"/>
          <w:i/>
          <w:sz w:val="20"/>
          <w:szCs w:val="20"/>
          <w:lang w:eastAsia="it-IT"/>
        </w:rPr>
        <w:t>6</w:t>
      </w:r>
      <w:proofErr w:type="gramEnd"/>
      <w:r w:rsidRPr="00BE3290">
        <w:rPr>
          <w:rFonts w:ascii="Times New Roman" w:eastAsia="Times New Roman" w:hAnsi="Times New Roman" w:cs="Times New Roman"/>
          <w:i/>
          <w:sz w:val="20"/>
          <w:szCs w:val="20"/>
          <w:lang w:eastAsia="it-IT"/>
        </w:rPr>
        <w:t xml:space="preserve"> </w:t>
      </w:r>
      <w:proofErr w:type="spellStart"/>
      <w:r w:rsidRPr="00BE3290">
        <w:rPr>
          <w:rFonts w:ascii="Times New Roman" w:eastAsia="Times New Roman" w:hAnsi="Times New Roman" w:cs="Times New Roman"/>
          <w:i/>
          <w:sz w:val="20"/>
          <w:szCs w:val="20"/>
          <w:lang w:eastAsia="it-IT"/>
        </w:rPr>
        <w:t>BioFolD</w:t>
      </w:r>
      <w:proofErr w:type="spellEnd"/>
      <w:r w:rsidRPr="00BE3290">
        <w:rPr>
          <w:rFonts w:ascii="Times New Roman" w:eastAsia="Times New Roman" w:hAnsi="Times New Roman" w:cs="Times New Roman"/>
          <w:i/>
          <w:sz w:val="20"/>
          <w:szCs w:val="20"/>
          <w:lang w:eastAsia="it-IT"/>
        </w:rPr>
        <w:t xml:space="preserve"> Unit, Department of Biological, Geological, and Environmental Sciences (</w:t>
      </w:r>
      <w:proofErr w:type="spellStart"/>
      <w:r w:rsidRPr="00BE3290">
        <w:rPr>
          <w:rFonts w:ascii="Times New Roman" w:eastAsia="Times New Roman" w:hAnsi="Times New Roman" w:cs="Times New Roman"/>
          <w:i/>
          <w:sz w:val="20"/>
          <w:szCs w:val="20"/>
          <w:lang w:eastAsia="it-IT"/>
        </w:rPr>
        <w:t>BiGeA</w:t>
      </w:r>
      <w:proofErr w:type="spellEnd"/>
      <w:r w:rsidRPr="00BE3290">
        <w:rPr>
          <w:rFonts w:ascii="Times New Roman" w:eastAsia="Times New Roman" w:hAnsi="Times New Roman" w:cs="Times New Roman"/>
          <w:i/>
          <w:sz w:val="20"/>
          <w:szCs w:val="20"/>
          <w:lang w:eastAsia="it-IT"/>
        </w:rPr>
        <w:t>),</w:t>
      </w:r>
    </w:p>
    <w:p w:rsidR="00BB0520" w:rsidRPr="00BB0520" w:rsidRDefault="00BB0520" w:rsidP="00BB0520">
      <w:pPr>
        <w:spacing w:line="276" w:lineRule="auto"/>
        <w:rPr>
          <w:rFonts w:ascii="Times New Roman" w:eastAsia="Times New Roman" w:hAnsi="Times New Roman" w:cs="Times New Roman"/>
          <w:i/>
          <w:sz w:val="20"/>
          <w:szCs w:val="20"/>
          <w:lang w:val="it-IT" w:eastAsia="it-IT"/>
        </w:rPr>
      </w:pPr>
      <w:proofErr w:type="spellStart"/>
      <w:r w:rsidRPr="00BB0520">
        <w:rPr>
          <w:rFonts w:ascii="Times New Roman" w:eastAsia="Times New Roman" w:hAnsi="Times New Roman" w:cs="Times New Roman"/>
          <w:i/>
          <w:sz w:val="20"/>
          <w:szCs w:val="20"/>
          <w:lang w:val="it-IT" w:eastAsia="it-IT"/>
        </w:rPr>
        <w:t>University</w:t>
      </w:r>
      <w:proofErr w:type="spellEnd"/>
      <w:r w:rsidRPr="00BB0520">
        <w:rPr>
          <w:rFonts w:ascii="Times New Roman" w:eastAsia="Times New Roman" w:hAnsi="Times New Roman" w:cs="Times New Roman"/>
          <w:i/>
          <w:sz w:val="20"/>
          <w:szCs w:val="20"/>
          <w:lang w:val="it-IT" w:eastAsia="it-IT"/>
        </w:rPr>
        <w:t xml:space="preserve"> of Bologna, Via F. </w:t>
      </w:r>
      <w:proofErr w:type="spellStart"/>
      <w:r w:rsidRPr="00BB0520">
        <w:rPr>
          <w:rFonts w:ascii="Times New Roman" w:eastAsia="Times New Roman" w:hAnsi="Times New Roman" w:cs="Times New Roman"/>
          <w:i/>
          <w:sz w:val="20"/>
          <w:szCs w:val="20"/>
          <w:lang w:val="it-IT" w:eastAsia="it-IT"/>
        </w:rPr>
        <w:t>Selmi</w:t>
      </w:r>
      <w:proofErr w:type="spellEnd"/>
      <w:r w:rsidRPr="00BB0520">
        <w:rPr>
          <w:rFonts w:ascii="Times New Roman" w:eastAsia="Times New Roman" w:hAnsi="Times New Roman" w:cs="Times New Roman"/>
          <w:i/>
          <w:sz w:val="20"/>
          <w:szCs w:val="20"/>
          <w:lang w:val="it-IT" w:eastAsia="it-IT"/>
        </w:rPr>
        <w:t xml:space="preserve"> 3, Bologna, 40126, </w:t>
      </w:r>
      <w:proofErr w:type="spellStart"/>
      <w:r w:rsidRPr="00BB0520">
        <w:rPr>
          <w:rFonts w:ascii="Times New Roman" w:eastAsia="Times New Roman" w:hAnsi="Times New Roman" w:cs="Times New Roman"/>
          <w:i/>
          <w:sz w:val="20"/>
          <w:szCs w:val="20"/>
          <w:lang w:val="it-IT" w:eastAsia="it-IT"/>
        </w:rPr>
        <w:t>Italy</w:t>
      </w:r>
      <w:proofErr w:type="spellEnd"/>
      <w:r w:rsidRPr="00BB0520">
        <w:rPr>
          <w:rFonts w:ascii="Times New Roman" w:eastAsia="Times New Roman" w:hAnsi="Times New Roman" w:cs="Times New Roman"/>
          <w:i/>
          <w:sz w:val="20"/>
          <w:szCs w:val="20"/>
          <w:lang w:val="it-IT" w:eastAsia="it-IT"/>
        </w:rPr>
        <w:t>.</w:t>
      </w:r>
    </w:p>
    <w:p w:rsidR="00BB0520" w:rsidRPr="00BE3290" w:rsidRDefault="00BB0520" w:rsidP="00BB0520">
      <w:pPr>
        <w:spacing w:line="276" w:lineRule="auto"/>
        <w:jc w:val="both"/>
        <w:rPr>
          <w:rFonts w:ascii="Times New Roman" w:hAnsi="Times New Roman" w:cs="Times New Roman"/>
          <w:i/>
          <w:sz w:val="20"/>
          <w:szCs w:val="20"/>
        </w:rPr>
      </w:pPr>
      <w:proofErr w:type="gramStart"/>
      <w:r w:rsidRPr="00BE3290">
        <w:rPr>
          <w:rFonts w:ascii="Times New Roman" w:hAnsi="Times New Roman" w:cs="Times New Roman"/>
          <w:i/>
          <w:sz w:val="20"/>
          <w:szCs w:val="20"/>
        </w:rPr>
        <w:t>7</w:t>
      </w:r>
      <w:proofErr w:type="gramEnd"/>
      <w:r w:rsidRPr="00BE3290">
        <w:rPr>
          <w:rFonts w:ascii="Times New Roman" w:hAnsi="Times New Roman" w:cs="Times New Roman"/>
          <w:i/>
          <w:sz w:val="20"/>
          <w:szCs w:val="20"/>
        </w:rPr>
        <w:t xml:space="preserve"> Biocomputing Group, </w:t>
      </w:r>
      <w:proofErr w:type="spellStart"/>
      <w:r w:rsidRPr="00BE3290">
        <w:rPr>
          <w:rFonts w:ascii="Times New Roman" w:hAnsi="Times New Roman" w:cs="Times New Roman"/>
          <w:i/>
          <w:sz w:val="20"/>
          <w:szCs w:val="20"/>
        </w:rPr>
        <w:t>Dept</w:t>
      </w:r>
      <w:proofErr w:type="spellEnd"/>
      <w:r w:rsidRPr="00BE3290">
        <w:rPr>
          <w:rFonts w:ascii="Times New Roman" w:hAnsi="Times New Roman" w:cs="Times New Roman"/>
          <w:i/>
          <w:sz w:val="20"/>
          <w:szCs w:val="20"/>
        </w:rPr>
        <w:t xml:space="preserve"> </w:t>
      </w:r>
      <w:proofErr w:type="spellStart"/>
      <w:r w:rsidRPr="00BE3290">
        <w:rPr>
          <w:rFonts w:ascii="Times New Roman" w:hAnsi="Times New Roman" w:cs="Times New Roman"/>
          <w:i/>
          <w:sz w:val="20"/>
          <w:szCs w:val="20"/>
        </w:rPr>
        <w:t>BiGeA</w:t>
      </w:r>
      <w:proofErr w:type="spellEnd"/>
      <w:r w:rsidRPr="00BE3290">
        <w:rPr>
          <w:rFonts w:ascii="Times New Roman" w:hAnsi="Times New Roman" w:cs="Times New Roman"/>
          <w:i/>
          <w:sz w:val="20"/>
          <w:szCs w:val="20"/>
        </w:rPr>
        <w:t>, University of Bologna, via San Giacomo 9/2, 40126 Bologna, Italy.</w:t>
      </w:r>
    </w:p>
    <w:p w:rsidR="00BB0520" w:rsidRPr="00BE3290" w:rsidRDefault="00BB0520" w:rsidP="00BB0520">
      <w:pPr>
        <w:spacing w:line="276" w:lineRule="auto"/>
        <w:jc w:val="both"/>
        <w:rPr>
          <w:rFonts w:ascii="Times New Roman" w:hAnsi="Times New Roman" w:cs="Times New Roman"/>
          <w:i/>
          <w:sz w:val="20"/>
          <w:szCs w:val="20"/>
        </w:rPr>
      </w:pPr>
      <w:proofErr w:type="gramStart"/>
      <w:r w:rsidRPr="00BE3290">
        <w:rPr>
          <w:rFonts w:ascii="Times New Roman" w:hAnsi="Times New Roman" w:cs="Times New Roman"/>
          <w:i/>
          <w:sz w:val="20"/>
          <w:szCs w:val="20"/>
        </w:rPr>
        <w:t>8</w:t>
      </w:r>
      <w:proofErr w:type="gramEnd"/>
      <w:r w:rsidRPr="00BE3290">
        <w:rPr>
          <w:rFonts w:ascii="Times New Roman" w:hAnsi="Times New Roman" w:cs="Times New Roman"/>
          <w:i/>
          <w:sz w:val="20"/>
          <w:szCs w:val="20"/>
        </w:rPr>
        <w:t xml:space="preserve"> Institute for Cancer Research, Fox Chase Cancer Center, 333 </w:t>
      </w:r>
      <w:proofErr w:type="spellStart"/>
      <w:r w:rsidRPr="00BE3290">
        <w:rPr>
          <w:rFonts w:ascii="Times New Roman" w:hAnsi="Times New Roman" w:cs="Times New Roman"/>
          <w:i/>
          <w:sz w:val="20"/>
          <w:szCs w:val="20"/>
        </w:rPr>
        <w:t>Cottman</w:t>
      </w:r>
      <w:proofErr w:type="spellEnd"/>
      <w:r w:rsidRPr="00BE3290">
        <w:rPr>
          <w:rFonts w:ascii="Times New Roman" w:hAnsi="Times New Roman" w:cs="Times New Roman"/>
          <w:i/>
          <w:sz w:val="20"/>
          <w:szCs w:val="20"/>
        </w:rPr>
        <w:t xml:space="preserve"> Ave, Philadelphia PA 19111, USA.</w:t>
      </w:r>
    </w:p>
    <w:p w:rsidR="00BB0520" w:rsidRPr="00BE3290" w:rsidRDefault="00BB0520" w:rsidP="00BB0520">
      <w:pPr>
        <w:spacing w:line="276" w:lineRule="auto"/>
        <w:jc w:val="both"/>
        <w:rPr>
          <w:rFonts w:ascii="Times New Roman" w:hAnsi="Times New Roman" w:cs="Times New Roman"/>
          <w:i/>
          <w:sz w:val="20"/>
          <w:szCs w:val="20"/>
        </w:rPr>
      </w:pPr>
      <w:proofErr w:type="gramStart"/>
      <w:r w:rsidRPr="00BE3290">
        <w:rPr>
          <w:rFonts w:ascii="Times New Roman" w:hAnsi="Times New Roman" w:cs="Times New Roman"/>
          <w:i/>
          <w:sz w:val="20"/>
          <w:szCs w:val="20"/>
        </w:rPr>
        <w:t>9</w:t>
      </w:r>
      <w:proofErr w:type="gramEnd"/>
      <w:r w:rsidRPr="00BE3290">
        <w:rPr>
          <w:rFonts w:ascii="Times New Roman" w:hAnsi="Times New Roman" w:cs="Times New Roman"/>
          <w:i/>
          <w:sz w:val="20"/>
          <w:szCs w:val="20"/>
        </w:rPr>
        <w:t xml:space="preserve"> Immunology and Molecular Oncology Unit, Veneto Institute of Oncology, Padua I-35128, Italy.</w:t>
      </w:r>
    </w:p>
    <w:p w:rsidR="00BB0520" w:rsidRPr="00BB0520" w:rsidRDefault="00BB0520" w:rsidP="00BB0520">
      <w:pPr>
        <w:spacing w:line="276" w:lineRule="auto"/>
        <w:jc w:val="both"/>
        <w:rPr>
          <w:rFonts w:ascii="Times New Roman" w:hAnsi="Times New Roman" w:cs="Times New Roman"/>
          <w:i/>
          <w:sz w:val="20"/>
          <w:szCs w:val="20"/>
          <w:lang w:val="it-IT"/>
        </w:rPr>
      </w:pPr>
      <w:r w:rsidRPr="00BE3290">
        <w:rPr>
          <w:rFonts w:ascii="Times New Roman" w:hAnsi="Times New Roman" w:cs="Times New Roman"/>
          <w:i/>
          <w:sz w:val="20"/>
          <w:szCs w:val="20"/>
          <w:lang w:val="it-IT"/>
        </w:rPr>
        <w:t>10</w:t>
      </w:r>
      <w:r w:rsidRPr="00BB0520">
        <w:rPr>
          <w:rFonts w:ascii="Times New Roman" w:hAnsi="Times New Roman" w:cs="Times New Roman"/>
          <w:i/>
          <w:sz w:val="20"/>
          <w:szCs w:val="20"/>
          <w:lang w:val="it-IT"/>
        </w:rPr>
        <w:t xml:space="preserve"> </w:t>
      </w:r>
      <w:proofErr w:type="spellStart"/>
      <w:r w:rsidRPr="00BB0520">
        <w:rPr>
          <w:rFonts w:ascii="Times New Roman" w:hAnsi="Times New Roman" w:cs="Times New Roman"/>
          <w:i/>
          <w:sz w:val="20"/>
          <w:szCs w:val="20"/>
          <w:lang w:val="it-IT"/>
        </w:rPr>
        <w:t>Dept</w:t>
      </w:r>
      <w:proofErr w:type="spellEnd"/>
      <w:r w:rsidRPr="00BB0520">
        <w:rPr>
          <w:rFonts w:ascii="Times New Roman" w:hAnsi="Times New Roman" w:cs="Times New Roman"/>
          <w:i/>
          <w:sz w:val="20"/>
          <w:szCs w:val="20"/>
          <w:lang w:val="it-IT"/>
        </w:rPr>
        <w:t xml:space="preserve"> BCA, </w:t>
      </w:r>
      <w:proofErr w:type="spellStart"/>
      <w:r w:rsidRPr="00BB0520">
        <w:rPr>
          <w:rFonts w:ascii="Times New Roman" w:hAnsi="Times New Roman" w:cs="Times New Roman"/>
          <w:i/>
          <w:sz w:val="20"/>
          <w:szCs w:val="20"/>
          <w:lang w:val="it-IT"/>
        </w:rPr>
        <w:t>University</w:t>
      </w:r>
      <w:proofErr w:type="spellEnd"/>
      <w:r w:rsidRPr="00BB0520">
        <w:rPr>
          <w:rFonts w:ascii="Times New Roman" w:hAnsi="Times New Roman" w:cs="Times New Roman"/>
          <w:i/>
          <w:sz w:val="20"/>
          <w:szCs w:val="20"/>
          <w:lang w:val="it-IT"/>
        </w:rPr>
        <w:t xml:space="preserve"> of </w:t>
      </w:r>
      <w:proofErr w:type="spellStart"/>
      <w:r w:rsidRPr="00BB0520">
        <w:rPr>
          <w:rFonts w:ascii="Times New Roman" w:hAnsi="Times New Roman" w:cs="Times New Roman"/>
          <w:i/>
          <w:sz w:val="20"/>
          <w:szCs w:val="20"/>
          <w:lang w:val="it-IT"/>
        </w:rPr>
        <w:t>Padua</w:t>
      </w:r>
      <w:proofErr w:type="spellEnd"/>
      <w:r w:rsidRPr="00BB0520">
        <w:rPr>
          <w:rFonts w:ascii="Times New Roman" w:hAnsi="Times New Roman" w:cs="Times New Roman"/>
          <w:i/>
          <w:sz w:val="20"/>
          <w:szCs w:val="20"/>
          <w:lang w:val="it-IT"/>
        </w:rPr>
        <w:t xml:space="preserve">, viale dell'Università 16, 35020 Legnaro (PD), </w:t>
      </w:r>
      <w:proofErr w:type="spellStart"/>
      <w:r w:rsidRPr="00BB0520">
        <w:rPr>
          <w:rFonts w:ascii="Times New Roman" w:hAnsi="Times New Roman" w:cs="Times New Roman"/>
          <w:i/>
          <w:sz w:val="20"/>
          <w:szCs w:val="20"/>
          <w:lang w:val="it-IT"/>
        </w:rPr>
        <w:t>Italy</w:t>
      </w:r>
      <w:proofErr w:type="spellEnd"/>
      <w:r w:rsidRPr="00BB0520">
        <w:rPr>
          <w:rFonts w:ascii="Times New Roman" w:hAnsi="Times New Roman" w:cs="Times New Roman"/>
          <w:i/>
          <w:sz w:val="20"/>
          <w:szCs w:val="20"/>
          <w:lang w:val="it-IT"/>
        </w:rPr>
        <w:t>.</w:t>
      </w:r>
    </w:p>
    <w:p w:rsidR="00BB0520" w:rsidRPr="00BE3290" w:rsidRDefault="00BB0520" w:rsidP="00BB0520">
      <w:pPr>
        <w:spacing w:line="276" w:lineRule="auto"/>
        <w:rPr>
          <w:rFonts w:ascii="Times New Roman" w:hAnsi="Times New Roman" w:cs="Times New Roman"/>
          <w:i/>
          <w:sz w:val="20"/>
          <w:szCs w:val="20"/>
        </w:rPr>
      </w:pPr>
      <w:proofErr w:type="gramStart"/>
      <w:r w:rsidRPr="00BE3290">
        <w:rPr>
          <w:rFonts w:ascii="Times New Roman" w:hAnsi="Times New Roman" w:cs="Times New Roman"/>
          <w:i/>
          <w:sz w:val="20"/>
          <w:szCs w:val="20"/>
        </w:rPr>
        <w:t>11</w:t>
      </w:r>
      <w:proofErr w:type="gramEnd"/>
      <w:r w:rsidRPr="00BE3290">
        <w:rPr>
          <w:rFonts w:ascii="Times New Roman" w:hAnsi="Times New Roman" w:cs="Times New Roman"/>
          <w:i/>
          <w:sz w:val="20"/>
          <w:szCs w:val="20"/>
        </w:rPr>
        <w:t xml:space="preserve"> Department of Computer Science, University of Bristol, Bristol, UK.</w:t>
      </w:r>
    </w:p>
    <w:p w:rsidR="00BB0520" w:rsidRPr="00BE3290" w:rsidRDefault="00BB0520" w:rsidP="00BB0520">
      <w:pPr>
        <w:spacing w:line="276" w:lineRule="auto"/>
        <w:rPr>
          <w:rFonts w:ascii="Times New Roman" w:hAnsi="Times New Roman" w:cs="Times New Roman"/>
          <w:i/>
          <w:sz w:val="20"/>
          <w:szCs w:val="20"/>
        </w:rPr>
      </w:pPr>
      <w:proofErr w:type="gramStart"/>
      <w:r w:rsidRPr="00BE3290">
        <w:rPr>
          <w:rFonts w:ascii="Times New Roman" w:hAnsi="Times New Roman" w:cs="Times New Roman"/>
          <w:i/>
          <w:iCs/>
          <w:sz w:val="20"/>
          <w:szCs w:val="20"/>
        </w:rPr>
        <w:t>12</w:t>
      </w:r>
      <w:proofErr w:type="gramEnd"/>
      <w:r w:rsidRPr="00BE3290">
        <w:rPr>
          <w:rFonts w:ascii="Times New Roman" w:hAnsi="Times New Roman" w:cs="Times New Roman"/>
          <w:i/>
          <w:iCs/>
          <w:sz w:val="20"/>
          <w:szCs w:val="20"/>
        </w:rPr>
        <w:t xml:space="preserve"> </w:t>
      </w:r>
      <w:r w:rsidRPr="00BE3290">
        <w:rPr>
          <w:rFonts w:ascii="Times New Roman" w:hAnsi="Times New Roman" w:cs="Times New Roman"/>
          <w:i/>
          <w:sz w:val="20"/>
          <w:szCs w:val="20"/>
        </w:rPr>
        <w:t>Department of Plant and Microbial Biology, University of California, Berkeley, CA  94720-3102.</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13</w:t>
      </w:r>
      <w:proofErr w:type="gramEnd"/>
      <w:r w:rsidRPr="004C26E6">
        <w:rPr>
          <w:rFonts w:ascii="Times New Roman" w:hAnsi="Times New Roman" w:cs="Times New Roman"/>
          <w:i/>
          <w:sz w:val="20"/>
          <w:szCs w:val="20"/>
        </w:rPr>
        <w:t xml:space="preserve"> Department of Human and Molecular Genetics, Baylor College of Medicine, Houston, Texas.</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14</w:t>
      </w:r>
      <w:proofErr w:type="gramEnd"/>
      <w:r w:rsidRPr="004C26E6">
        <w:rPr>
          <w:rFonts w:ascii="Times New Roman" w:hAnsi="Times New Roman" w:cs="Times New Roman"/>
          <w:i/>
          <w:sz w:val="20"/>
          <w:szCs w:val="20"/>
        </w:rPr>
        <w:t xml:space="preserve"> Department of Woman and Child Health, University of </w:t>
      </w:r>
      <w:proofErr w:type="spellStart"/>
      <w:r w:rsidRPr="004C26E6">
        <w:rPr>
          <w:rFonts w:ascii="Times New Roman" w:hAnsi="Times New Roman" w:cs="Times New Roman"/>
          <w:i/>
          <w:sz w:val="20"/>
          <w:szCs w:val="20"/>
        </w:rPr>
        <w:t>Padova</w:t>
      </w:r>
      <w:proofErr w:type="spellEnd"/>
      <w:r w:rsidRPr="004C26E6">
        <w:rPr>
          <w:rFonts w:ascii="Times New Roman" w:hAnsi="Times New Roman" w:cs="Times New Roman"/>
          <w:i/>
          <w:sz w:val="20"/>
          <w:szCs w:val="20"/>
        </w:rPr>
        <w:t xml:space="preserve">, I-35128 </w:t>
      </w:r>
      <w:proofErr w:type="spellStart"/>
      <w:r w:rsidRPr="004C26E6">
        <w:rPr>
          <w:rFonts w:ascii="Times New Roman" w:hAnsi="Times New Roman" w:cs="Times New Roman"/>
          <w:i/>
          <w:sz w:val="20"/>
          <w:szCs w:val="20"/>
        </w:rPr>
        <w:t>Padova</w:t>
      </w:r>
      <w:proofErr w:type="spellEnd"/>
      <w:r w:rsidRPr="004C26E6">
        <w:rPr>
          <w:rFonts w:ascii="Times New Roman" w:hAnsi="Times New Roman" w:cs="Times New Roman"/>
          <w:i/>
          <w:sz w:val="20"/>
          <w:szCs w:val="20"/>
        </w:rPr>
        <w:t>, Italy.</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15</w:t>
      </w:r>
      <w:proofErr w:type="gramEnd"/>
      <w:r w:rsidRPr="004C26E6">
        <w:rPr>
          <w:rFonts w:ascii="Times New Roman" w:hAnsi="Times New Roman" w:cs="Times New Roman"/>
          <w:i/>
          <w:sz w:val="20"/>
          <w:szCs w:val="20"/>
        </w:rPr>
        <w:t xml:space="preserve"> Department of Biochemistry &amp; Molecular Biology, Baylor College of Medicine, Houston, Texas</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16</w:t>
      </w:r>
      <w:proofErr w:type="gramEnd"/>
      <w:r w:rsidRPr="004C26E6">
        <w:rPr>
          <w:rFonts w:ascii="Times New Roman" w:hAnsi="Times New Roman" w:cs="Times New Roman"/>
          <w:i/>
          <w:sz w:val="20"/>
          <w:szCs w:val="20"/>
        </w:rPr>
        <w:t xml:space="preserve"> Department of Pharmacology, Baylor College of Medicine, Houston, Texas </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17</w:t>
      </w:r>
      <w:proofErr w:type="gramEnd"/>
      <w:r w:rsidRPr="004C26E6">
        <w:rPr>
          <w:rFonts w:ascii="Times New Roman" w:hAnsi="Times New Roman" w:cs="Times New Roman"/>
          <w:i/>
          <w:sz w:val="20"/>
          <w:szCs w:val="20"/>
        </w:rPr>
        <w:t xml:space="preserve"> Computational and Integrative Biomedical Research Center, Baylor College of Medicine, Houston, Texas</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18</w:t>
      </w:r>
      <w:proofErr w:type="gramEnd"/>
      <w:r w:rsidRPr="004C26E6">
        <w:rPr>
          <w:rFonts w:ascii="Times New Roman" w:hAnsi="Times New Roman" w:cs="Times New Roman"/>
          <w:i/>
          <w:sz w:val="20"/>
          <w:szCs w:val="20"/>
        </w:rPr>
        <w:t xml:space="preserve"> Protein Structure and Bioinformatics Group, Department of Experimental Medical Science, Lund University, BMC B13, 221 84 Lund, Sweden.</w:t>
      </w:r>
    </w:p>
    <w:p w:rsidR="00BB0520" w:rsidRPr="004C26E6" w:rsidRDefault="00BB0520" w:rsidP="00BB0520">
      <w:pPr>
        <w:spacing w:line="276" w:lineRule="auto"/>
        <w:rPr>
          <w:rFonts w:ascii="Times New Roman" w:hAnsi="Times New Roman" w:cs="Times New Roman"/>
          <w:i/>
          <w:sz w:val="20"/>
          <w:szCs w:val="20"/>
        </w:rPr>
      </w:pPr>
      <w:r w:rsidRPr="004C26E6">
        <w:rPr>
          <w:rFonts w:ascii="Times New Roman" w:hAnsi="Times New Roman" w:cs="Times New Roman"/>
          <w:i/>
          <w:sz w:val="20"/>
          <w:szCs w:val="20"/>
        </w:rPr>
        <w:t xml:space="preserve">19 Institute for Bioscience and Biotechnology Research, University of Maryland, 9600 </w:t>
      </w:r>
      <w:proofErr w:type="spellStart"/>
      <w:r w:rsidRPr="004C26E6">
        <w:rPr>
          <w:rFonts w:ascii="Times New Roman" w:hAnsi="Times New Roman" w:cs="Times New Roman"/>
          <w:i/>
          <w:sz w:val="20"/>
          <w:szCs w:val="20"/>
        </w:rPr>
        <w:t>Gudelsky</w:t>
      </w:r>
      <w:proofErr w:type="spellEnd"/>
      <w:r w:rsidRPr="004C26E6">
        <w:rPr>
          <w:rFonts w:ascii="Times New Roman" w:hAnsi="Times New Roman" w:cs="Times New Roman"/>
          <w:i/>
          <w:sz w:val="20"/>
          <w:szCs w:val="20"/>
        </w:rPr>
        <w:t xml:space="preserve"> Drive, Rockville, MD 20850.</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20</w:t>
      </w:r>
      <w:proofErr w:type="gramEnd"/>
      <w:r w:rsidRPr="004C26E6">
        <w:rPr>
          <w:rFonts w:ascii="Times New Roman" w:hAnsi="Times New Roman" w:cs="Times New Roman"/>
          <w:i/>
          <w:sz w:val="20"/>
          <w:szCs w:val="20"/>
        </w:rPr>
        <w:t xml:space="preserve"> EMBL-EBI, </w:t>
      </w:r>
      <w:proofErr w:type="spellStart"/>
      <w:r w:rsidRPr="004C26E6">
        <w:rPr>
          <w:rFonts w:ascii="Times New Roman" w:hAnsi="Times New Roman" w:cs="Times New Roman"/>
          <w:i/>
          <w:sz w:val="20"/>
          <w:szCs w:val="20"/>
        </w:rPr>
        <w:t>Wellcome</w:t>
      </w:r>
      <w:proofErr w:type="spellEnd"/>
      <w:r w:rsidRPr="004C26E6">
        <w:rPr>
          <w:rFonts w:ascii="Times New Roman" w:hAnsi="Times New Roman" w:cs="Times New Roman"/>
          <w:i/>
          <w:sz w:val="20"/>
          <w:szCs w:val="20"/>
        </w:rPr>
        <w:t xml:space="preserve"> Trust Genome Campus, </w:t>
      </w:r>
      <w:proofErr w:type="spellStart"/>
      <w:r w:rsidRPr="004C26E6">
        <w:rPr>
          <w:rFonts w:ascii="Times New Roman" w:hAnsi="Times New Roman" w:cs="Times New Roman"/>
          <w:i/>
          <w:sz w:val="20"/>
          <w:szCs w:val="20"/>
        </w:rPr>
        <w:t>Hinxton</w:t>
      </w:r>
      <w:proofErr w:type="spellEnd"/>
      <w:r w:rsidRPr="004C26E6">
        <w:rPr>
          <w:rFonts w:ascii="Times New Roman" w:hAnsi="Times New Roman" w:cs="Times New Roman"/>
          <w:i/>
          <w:sz w:val="20"/>
          <w:szCs w:val="20"/>
        </w:rPr>
        <w:t>, Cambridge, UK.</w:t>
      </w:r>
    </w:p>
    <w:p w:rsidR="00BB0520" w:rsidRPr="004C26E6" w:rsidRDefault="00BB0520" w:rsidP="00BB0520">
      <w:pPr>
        <w:spacing w:line="276" w:lineRule="auto"/>
        <w:jc w:val="both"/>
        <w:rPr>
          <w:rFonts w:ascii="Times New Roman" w:hAnsi="Times New Roman" w:cs="Times New Roman"/>
          <w:i/>
          <w:iCs/>
          <w:sz w:val="20"/>
          <w:szCs w:val="20"/>
        </w:rPr>
      </w:pPr>
      <w:r w:rsidRPr="004C26E6">
        <w:rPr>
          <w:rFonts w:ascii="Times New Roman" w:hAnsi="Times New Roman" w:cs="Times New Roman"/>
          <w:i/>
          <w:sz w:val="20"/>
          <w:szCs w:val="20"/>
        </w:rPr>
        <w:t>21 I</w:t>
      </w:r>
      <w:r w:rsidRPr="004C26E6">
        <w:rPr>
          <w:rFonts w:ascii="Times New Roman" w:hAnsi="Times New Roman" w:cs="Times New Roman"/>
          <w:i/>
          <w:iCs/>
          <w:sz w:val="20"/>
          <w:szCs w:val="20"/>
        </w:rPr>
        <w:t xml:space="preserve">nstitute for </w:t>
      </w:r>
      <w:proofErr w:type="spellStart"/>
      <w:r w:rsidRPr="004C26E6">
        <w:rPr>
          <w:rFonts w:ascii="Times New Roman" w:hAnsi="Times New Roman" w:cs="Times New Roman"/>
          <w:i/>
          <w:iCs/>
          <w:sz w:val="20"/>
          <w:szCs w:val="20"/>
        </w:rPr>
        <w:t>Glycomics</w:t>
      </w:r>
      <w:proofErr w:type="spellEnd"/>
      <w:r w:rsidRPr="004C26E6">
        <w:rPr>
          <w:rFonts w:ascii="Times New Roman" w:hAnsi="Times New Roman" w:cs="Times New Roman"/>
          <w:i/>
          <w:iCs/>
          <w:sz w:val="20"/>
          <w:szCs w:val="20"/>
        </w:rPr>
        <w:t xml:space="preserve"> and School of Information and Communication Technology, Griffith University, Gold Coast, QLD 4222, Australia.</w:t>
      </w:r>
    </w:p>
    <w:p w:rsidR="00BB0520" w:rsidRPr="004C26E6" w:rsidRDefault="00BB0520" w:rsidP="00BB0520">
      <w:pPr>
        <w:spacing w:line="276" w:lineRule="auto"/>
        <w:jc w:val="both"/>
        <w:rPr>
          <w:rFonts w:ascii="Times New Roman" w:hAnsi="Times New Roman" w:cs="Times New Roman"/>
          <w:i/>
          <w:sz w:val="20"/>
          <w:szCs w:val="20"/>
        </w:rPr>
      </w:pPr>
      <w:proofErr w:type="gramStart"/>
      <w:r w:rsidRPr="004C26E6">
        <w:rPr>
          <w:rFonts w:ascii="Times New Roman" w:hAnsi="Times New Roman" w:cs="Times New Roman"/>
          <w:i/>
          <w:iCs/>
          <w:sz w:val="20"/>
          <w:szCs w:val="20"/>
        </w:rPr>
        <w:t>22</w:t>
      </w:r>
      <w:proofErr w:type="gramEnd"/>
      <w:r w:rsidRPr="004C26E6">
        <w:rPr>
          <w:rFonts w:ascii="Times New Roman" w:hAnsi="Times New Roman" w:cs="Times New Roman"/>
          <w:i/>
          <w:iCs/>
          <w:sz w:val="20"/>
          <w:szCs w:val="20"/>
        </w:rPr>
        <w:t xml:space="preserve"> </w:t>
      </w:r>
      <w:r w:rsidRPr="004C26E6">
        <w:rPr>
          <w:rFonts w:ascii="Times New Roman" w:hAnsi="Times New Roman" w:cs="Times New Roman"/>
          <w:i/>
          <w:sz w:val="20"/>
          <w:szCs w:val="20"/>
        </w:rPr>
        <w:t>Computational Biology, Bioinformatics and Genomics, Biological Sciences Graduate Program, University of Maryland, College Park, MD 20742, USA.</w:t>
      </w:r>
    </w:p>
    <w:p w:rsidR="00BB0520" w:rsidRPr="004C26E6" w:rsidRDefault="00BB0520" w:rsidP="00BB0520">
      <w:pPr>
        <w:spacing w:line="276" w:lineRule="auto"/>
        <w:rPr>
          <w:rFonts w:ascii="Times New Roman" w:hAnsi="Times New Roman" w:cs="Times New Roman"/>
          <w:i/>
          <w:iCs/>
          <w:sz w:val="20"/>
          <w:szCs w:val="20"/>
        </w:rPr>
      </w:pPr>
      <w:r w:rsidRPr="004C26E6">
        <w:rPr>
          <w:rFonts w:ascii="Times New Roman" w:hAnsi="Times New Roman" w:cs="Times New Roman"/>
          <w:i/>
          <w:sz w:val="20"/>
          <w:szCs w:val="20"/>
        </w:rPr>
        <w:t xml:space="preserve">23 </w:t>
      </w:r>
      <w:r w:rsidRPr="004C26E6">
        <w:rPr>
          <w:rFonts w:ascii="Times New Roman" w:hAnsi="Times New Roman" w:cs="Times New Roman"/>
          <w:i/>
          <w:iCs/>
          <w:sz w:val="20"/>
          <w:szCs w:val="20"/>
        </w:rPr>
        <w:t>Institute of Health and Biomedical Innovation, Queensland University of Technology, Queensland</w:t>
      </w:r>
      <w:proofErr w:type="gramStart"/>
      <w:r w:rsidRPr="004C26E6">
        <w:rPr>
          <w:rFonts w:ascii="Times New Roman" w:hAnsi="Times New Roman" w:cs="Times New Roman"/>
          <w:i/>
          <w:iCs/>
          <w:sz w:val="20"/>
          <w:szCs w:val="20"/>
        </w:rPr>
        <w:t>,4622</w:t>
      </w:r>
      <w:proofErr w:type="gramEnd"/>
      <w:r w:rsidRPr="004C26E6">
        <w:rPr>
          <w:rFonts w:ascii="Times New Roman" w:hAnsi="Times New Roman" w:cs="Times New Roman"/>
          <w:i/>
          <w:iCs/>
          <w:sz w:val="20"/>
          <w:szCs w:val="20"/>
        </w:rPr>
        <w:t>, Australia.</w:t>
      </w:r>
    </w:p>
    <w:p w:rsidR="00BB0520" w:rsidRPr="004C26E6" w:rsidRDefault="00BB0520" w:rsidP="00BB0520">
      <w:pPr>
        <w:spacing w:line="276" w:lineRule="auto"/>
        <w:rPr>
          <w:rFonts w:ascii="Times New Roman" w:hAnsi="Times New Roman" w:cs="Times New Roman"/>
          <w:i/>
          <w:iCs/>
          <w:sz w:val="20"/>
          <w:szCs w:val="20"/>
        </w:rPr>
      </w:pPr>
      <w:proofErr w:type="gramStart"/>
      <w:r w:rsidRPr="004C26E6">
        <w:rPr>
          <w:rFonts w:ascii="Times New Roman" w:hAnsi="Times New Roman" w:cs="Times New Roman"/>
          <w:i/>
          <w:iCs/>
          <w:sz w:val="20"/>
          <w:szCs w:val="20"/>
        </w:rPr>
        <w:t>24</w:t>
      </w:r>
      <w:proofErr w:type="gramEnd"/>
      <w:r w:rsidRPr="004C26E6">
        <w:rPr>
          <w:rFonts w:ascii="Times New Roman" w:hAnsi="Times New Roman" w:cs="Times New Roman"/>
          <w:i/>
          <w:iCs/>
          <w:sz w:val="20"/>
          <w:szCs w:val="20"/>
        </w:rPr>
        <w:t xml:space="preserve"> </w:t>
      </w:r>
      <w:r w:rsidRPr="004C26E6">
        <w:rPr>
          <w:rFonts w:ascii="Times New Roman" w:hAnsi="Times New Roman" w:cs="Times New Roman"/>
          <w:i/>
          <w:sz w:val="20"/>
          <w:szCs w:val="20"/>
        </w:rPr>
        <w:t>Department of Cell Biology and Molecular Genetics, University of Maryland, College Park, MD 20742.</w:t>
      </w:r>
    </w:p>
    <w:p w:rsidR="00BB0520" w:rsidRPr="004C26E6" w:rsidRDefault="00BB0520" w:rsidP="00BB0520">
      <w:pPr>
        <w:spacing w:line="276" w:lineRule="auto"/>
        <w:rPr>
          <w:rFonts w:ascii="Times New Roman" w:hAnsi="Times New Roman" w:cs="Times New Roman"/>
          <w:i/>
          <w:sz w:val="20"/>
          <w:szCs w:val="20"/>
        </w:rPr>
      </w:pPr>
      <w:proofErr w:type="gramStart"/>
      <w:r w:rsidRPr="004C26E6">
        <w:rPr>
          <w:rFonts w:ascii="Times New Roman" w:hAnsi="Times New Roman" w:cs="Times New Roman"/>
          <w:i/>
          <w:sz w:val="20"/>
          <w:szCs w:val="20"/>
        </w:rPr>
        <w:t>25</w:t>
      </w:r>
      <w:proofErr w:type="gramEnd"/>
      <w:r w:rsidRPr="004C26E6">
        <w:rPr>
          <w:rFonts w:ascii="Times New Roman" w:hAnsi="Times New Roman" w:cs="Times New Roman"/>
          <w:i/>
          <w:sz w:val="20"/>
          <w:szCs w:val="20"/>
        </w:rPr>
        <w:t xml:space="preserve"> CNR Institute of Neuroscience, </w:t>
      </w:r>
      <w:proofErr w:type="spellStart"/>
      <w:r w:rsidRPr="004C26E6">
        <w:rPr>
          <w:rFonts w:ascii="Times New Roman" w:hAnsi="Times New Roman" w:cs="Times New Roman"/>
          <w:i/>
          <w:sz w:val="20"/>
          <w:szCs w:val="20"/>
        </w:rPr>
        <w:t>Padova</w:t>
      </w:r>
      <w:proofErr w:type="spellEnd"/>
      <w:r w:rsidRPr="004C26E6">
        <w:rPr>
          <w:rFonts w:ascii="Times New Roman" w:hAnsi="Times New Roman" w:cs="Times New Roman"/>
          <w:i/>
          <w:sz w:val="20"/>
          <w:szCs w:val="20"/>
        </w:rPr>
        <w:t>, Italy.</w:t>
      </w:r>
    </w:p>
    <w:p w:rsidR="008F0174" w:rsidRDefault="00BB0520" w:rsidP="00BB0520">
      <w:pPr>
        <w:spacing w:line="480" w:lineRule="auto"/>
        <w:rPr>
          <w:rFonts w:ascii="Times New Roman" w:hAnsi="Times New Roman" w:cs="Times New Roman"/>
          <w:i/>
          <w:sz w:val="20"/>
          <w:szCs w:val="20"/>
        </w:rPr>
      </w:pPr>
      <w:r w:rsidRPr="004C26E6">
        <w:rPr>
          <w:rFonts w:ascii="Times New Roman" w:hAnsi="Times New Roman" w:cs="Times New Roman"/>
          <w:i/>
          <w:sz w:val="20"/>
          <w:szCs w:val="20"/>
        </w:rPr>
        <w:t>*Corresponding Author</w:t>
      </w:r>
    </w:p>
    <w:p w:rsidR="00BB0520" w:rsidRPr="00206369" w:rsidRDefault="00BB0520" w:rsidP="00BB0520">
      <w:pPr>
        <w:spacing w:line="480" w:lineRule="auto"/>
        <w:jc w:val="center"/>
        <w:rPr>
          <w:rFonts w:ascii="Times New Roman" w:hAnsi="Times New Roman" w:cs="Times New Roman"/>
          <w:b/>
          <w:szCs w:val="36"/>
        </w:rPr>
      </w:pPr>
    </w:p>
    <w:p w:rsidR="00DA244C" w:rsidRPr="00BB0520" w:rsidRDefault="00DA244C" w:rsidP="00DA244C">
      <w:pPr>
        <w:spacing w:line="480" w:lineRule="auto"/>
        <w:rPr>
          <w:rFonts w:ascii="Times New Roman" w:hAnsi="Times New Roman" w:cs="Times New Roman"/>
          <w:b/>
          <w:sz w:val="32"/>
          <w:szCs w:val="36"/>
        </w:rPr>
      </w:pPr>
      <w:r w:rsidRPr="00BB0520">
        <w:rPr>
          <w:rFonts w:ascii="Times New Roman" w:hAnsi="Times New Roman" w:cs="Times New Roman"/>
          <w:b/>
          <w:sz w:val="32"/>
          <w:szCs w:val="36"/>
        </w:rPr>
        <w:lastRenderedPageBreak/>
        <w:t xml:space="preserve">Supplementary Material </w:t>
      </w:r>
    </w:p>
    <w:p w:rsidR="003D3DFE" w:rsidRPr="00BB0520" w:rsidRDefault="00250B17" w:rsidP="00551D87">
      <w:pPr>
        <w:spacing w:line="480" w:lineRule="auto"/>
        <w:rPr>
          <w:rFonts w:ascii="Times New Roman" w:hAnsi="Times New Roman" w:cs="Times New Roman"/>
          <w:sz w:val="22"/>
        </w:rPr>
      </w:pPr>
      <w:r w:rsidRPr="00BB0520">
        <w:rPr>
          <w:rFonts w:ascii="Times New Roman" w:hAnsi="Times New Roman" w:cs="Times New Roman"/>
          <w:b/>
          <w:bCs/>
          <w:sz w:val="28"/>
          <w:szCs w:val="30"/>
        </w:rPr>
        <w:t xml:space="preserve">Performance </w:t>
      </w:r>
      <w:r w:rsidR="003D3DFE" w:rsidRPr="00BB0520">
        <w:rPr>
          <w:rFonts w:ascii="Times New Roman" w:hAnsi="Times New Roman" w:cs="Times New Roman"/>
          <w:b/>
          <w:bCs/>
          <w:sz w:val="28"/>
          <w:szCs w:val="30"/>
        </w:rPr>
        <w:t>M</w:t>
      </w:r>
      <w:r w:rsidRPr="00BB0520">
        <w:rPr>
          <w:rFonts w:ascii="Times New Roman" w:hAnsi="Times New Roman" w:cs="Times New Roman"/>
          <w:b/>
          <w:bCs/>
          <w:sz w:val="28"/>
          <w:szCs w:val="30"/>
        </w:rPr>
        <w:t>easures</w:t>
      </w:r>
    </w:p>
    <w:p w:rsidR="003D3DFE" w:rsidRDefault="008F0174" w:rsidP="001B5592">
      <w:pPr>
        <w:spacing w:line="480" w:lineRule="auto"/>
        <w:jc w:val="both"/>
        <w:rPr>
          <w:rFonts w:ascii="Times New Roman" w:hAnsi="Times New Roman" w:cs="Times New Roman"/>
          <w:b/>
          <w:bCs/>
        </w:rPr>
      </w:pPr>
      <w:r>
        <w:rPr>
          <w:rFonts w:ascii="Times New Roman" w:hAnsi="Times New Roman" w:cs="Times New Roman"/>
        </w:rPr>
        <w:t>A</w:t>
      </w:r>
      <w:r w:rsidR="003D3DFE">
        <w:rPr>
          <w:rFonts w:ascii="Times New Roman" w:hAnsi="Times New Roman" w:cs="Times New Roman"/>
        </w:rPr>
        <w:t>ll quantitative measures used for the determination of a ranking between the submissions</w:t>
      </w:r>
      <w:r>
        <w:rPr>
          <w:rFonts w:ascii="Times New Roman" w:hAnsi="Times New Roman" w:cs="Times New Roman"/>
        </w:rPr>
        <w:t xml:space="preserve"> </w:t>
      </w:r>
      <w:proofErr w:type="gramStart"/>
      <w:r>
        <w:rPr>
          <w:rFonts w:ascii="Times New Roman" w:hAnsi="Times New Roman" w:cs="Times New Roman"/>
        </w:rPr>
        <w:t>are listed</w:t>
      </w:r>
      <w:proofErr w:type="gramEnd"/>
      <w:r w:rsidR="003D3DFE">
        <w:rPr>
          <w:rFonts w:ascii="Times New Roman" w:hAnsi="Times New Roman" w:cs="Times New Roman"/>
        </w:rPr>
        <w:t>:</w:t>
      </w:r>
    </w:p>
    <w:p w:rsidR="003D3DFE" w:rsidRDefault="003D3DFE" w:rsidP="001B5592">
      <w:pPr>
        <w:numPr>
          <w:ilvl w:val="0"/>
          <w:numId w:val="1"/>
        </w:numPr>
        <w:spacing w:line="480" w:lineRule="auto"/>
        <w:jc w:val="both"/>
        <w:rPr>
          <w:rFonts w:ascii="Times New Roman" w:hAnsi="Times New Roman" w:cs="Times New Roman"/>
          <w:b/>
          <w:bCs/>
        </w:rPr>
      </w:pPr>
      <w:r>
        <w:rPr>
          <w:rFonts w:ascii="Times New Roman" w:hAnsi="Times New Roman" w:cs="Times New Roman"/>
          <w:b/>
          <w:bCs/>
        </w:rPr>
        <w:t>Pearson CC (PCC)</w:t>
      </w:r>
      <w:r>
        <w:rPr>
          <w:rFonts w:ascii="Times New Roman" w:hAnsi="Times New Roman" w:cs="Times New Roman"/>
        </w:rPr>
        <w:t xml:space="preserve">: </w:t>
      </w:r>
      <w:r>
        <w:rPr>
          <w:rFonts w:ascii="Times New Roman" w:hAnsi="Times New Roman" w:cs="Times New Roman"/>
          <w:i/>
          <w:iCs/>
        </w:rPr>
        <w:t>R</w:t>
      </w:r>
      <w:r>
        <w:rPr>
          <w:rFonts w:ascii="Times New Roman" w:hAnsi="Times New Roman" w:cs="Times New Roman"/>
        </w:rPr>
        <w:t xml:space="preserve"> function </w:t>
      </w:r>
      <w:proofErr w:type="spellStart"/>
      <w:r>
        <w:rPr>
          <w:rFonts w:ascii="Times New Roman" w:hAnsi="Times New Roman" w:cs="Times New Roman"/>
          <w:i/>
          <w:iCs/>
        </w:rPr>
        <w:t>cor</w:t>
      </w:r>
      <w:proofErr w:type="spellEnd"/>
      <w:r w:rsidR="008F0174">
        <w:rPr>
          <w:rFonts w:ascii="Times New Roman" w:hAnsi="Times New Roman" w:cs="Times New Roman"/>
          <w:i/>
          <w:iCs/>
        </w:rPr>
        <w:t xml:space="preserve"> </w:t>
      </w:r>
      <w:proofErr w:type="gramStart"/>
      <w:r w:rsidR="008F0174" w:rsidRPr="008F0174">
        <w:rPr>
          <w:rFonts w:ascii="Times New Roman" w:hAnsi="Times New Roman" w:cs="Times New Roman"/>
          <w:iCs/>
        </w:rPr>
        <w:t>was used</w:t>
      </w:r>
      <w:proofErr w:type="gramEnd"/>
      <w:r>
        <w:rPr>
          <w:rFonts w:ascii="Times New Roman" w:hAnsi="Times New Roman" w:cs="Times New Roman"/>
        </w:rPr>
        <w:t>. Check the reference manual for details.</w:t>
      </w:r>
    </w:p>
    <w:p w:rsidR="003D3DFE" w:rsidRDefault="003D3DFE" w:rsidP="001B5592">
      <w:pPr>
        <w:numPr>
          <w:ilvl w:val="0"/>
          <w:numId w:val="1"/>
        </w:numPr>
        <w:spacing w:line="480" w:lineRule="auto"/>
        <w:jc w:val="both"/>
        <w:rPr>
          <w:rFonts w:ascii="Times New Roman" w:hAnsi="Times New Roman" w:cs="Times New Roman"/>
          <w:b/>
          <w:bCs/>
        </w:rPr>
      </w:pPr>
      <w:r>
        <w:rPr>
          <w:rFonts w:ascii="Times New Roman" w:hAnsi="Times New Roman" w:cs="Times New Roman"/>
          <w:b/>
          <w:bCs/>
        </w:rPr>
        <w:t>Pairwise Kendall CC (KCC)</w:t>
      </w:r>
      <w:r>
        <w:rPr>
          <w:rFonts w:ascii="Times New Roman" w:hAnsi="Times New Roman" w:cs="Times New Roman"/>
        </w:rPr>
        <w:t xml:space="preserve">: the </w:t>
      </w:r>
      <w:r>
        <w:rPr>
          <w:rFonts w:ascii="Times New Roman" w:hAnsi="Times New Roman" w:cs="Times New Roman"/>
          <w:i/>
          <w:iCs/>
        </w:rPr>
        <w:t>R</w:t>
      </w:r>
      <w:r>
        <w:rPr>
          <w:rFonts w:ascii="Times New Roman" w:hAnsi="Times New Roman" w:cs="Times New Roman"/>
        </w:rPr>
        <w:t xml:space="preserve"> function </w:t>
      </w:r>
      <w:proofErr w:type="spellStart"/>
      <w:r>
        <w:rPr>
          <w:rFonts w:ascii="Times New Roman" w:hAnsi="Times New Roman" w:cs="Times New Roman"/>
          <w:i/>
          <w:iCs/>
        </w:rPr>
        <w:t>cor</w:t>
      </w:r>
      <w:proofErr w:type="spellEnd"/>
      <w:r w:rsidR="008F0174">
        <w:rPr>
          <w:rFonts w:ascii="Times New Roman" w:hAnsi="Times New Roman" w:cs="Times New Roman"/>
          <w:i/>
          <w:iCs/>
        </w:rPr>
        <w:t xml:space="preserve"> </w:t>
      </w:r>
      <w:proofErr w:type="gramStart"/>
      <w:r w:rsidR="008F0174" w:rsidRPr="008F0174">
        <w:rPr>
          <w:rFonts w:ascii="Times New Roman" w:hAnsi="Times New Roman" w:cs="Times New Roman"/>
          <w:iCs/>
        </w:rPr>
        <w:t>was used</w:t>
      </w:r>
      <w:proofErr w:type="gramEnd"/>
      <w:r>
        <w:rPr>
          <w:rFonts w:ascii="Times New Roman" w:hAnsi="Times New Roman" w:cs="Times New Roman"/>
        </w:rPr>
        <w:t>. Check the reference manual for details.</w:t>
      </w:r>
    </w:p>
    <w:p w:rsidR="008F2C9A" w:rsidRPr="008F2C9A" w:rsidRDefault="0040742F" w:rsidP="001B5592">
      <w:pPr>
        <w:numPr>
          <w:ilvl w:val="0"/>
          <w:numId w:val="1"/>
        </w:numPr>
        <w:spacing w:line="480" w:lineRule="auto"/>
        <w:jc w:val="both"/>
        <w:rPr>
          <w:rFonts w:ascii="Times New Roman" w:hAnsi="Times New Roman" w:cs="Times New Roman"/>
          <w:b/>
          <w:bCs/>
        </w:rPr>
      </w:pPr>
      <w:r>
        <w:rPr>
          <w:rFonts w:ascii="Times New Roman" w:hAnsi="Times New Roman" w:cs="Times New Roman"/>
          <w:b/>
          <w:bCs/>
        </w:rPr>
        <w:t>Root Mean Square Error</w:t>
      </w:r>
      <w:r w:rsidR="003D3DFE">
        <w:rPr>
          <w:rFonts w:ascii="Times New Roman" w:hAnsi="Times New Roman" w:cs="Times New Roman"/>
          <w:b/>
          <w:bCs/>
        </w:rPr>
        <w:t xml:space="preserve"> (RMS</w:t>
      </w:r>
      <w:r>
        <w:rPr>
          <w:rFonts w:ascii="Times New Roman" w:hAnsi="Times New Roman" w:cs="Times New Roman"/>
          <w:b/>
          <w:bCs/>
        </w:rPr>
        <w:t>E</w:t>
      </w:r>
      <w:r w:rsidR="003D3DFE">
        <w:rPr>
          <w:rFonts w:ascii="Times New Roman" w:hAnsi="Times New Roman" w:cs="Times New Roman"/>
          <w:b/>
          <w:bCs/>
        </w:rPr>
        <w:t>)</w:t>
      </w:r>
      <w:r w:rsidR="003D3DFE">
        <w:rPr>
          <w:rFonts w:ascii="Times New Roman" w:hAnsi="Times New Roman" w:cs="Times New Roman"/>
        </w:rPr>
        <w:t>: defined as</w:t>
      </w:r>
    </w:p>
    <w:p w:rsidR="00FC18E8" w:rsidRDefault="005B342D" w:rsidP="001B5592">
      <w:pPr>
        <w:spacing w:line="480" w:lineRule="auto"/>
        <w:ind w:left="720"/>
        <w:jc w:val="both"/>
        <w:rPr>
          <w:rFonts w:ascii="Times New Roman" w:hAnsi="Times New Roman" w:cs="Times New Roman"/>
        </w:rPr>
      </w:pPr>
      <m:oMathPara>
        <m:oMath>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2</m:t>
                          </m:r>
                        </m:sup>
                      </m:sSup>
                    </m:e>
                  </m:nary>
                </m:num>
                <m:den>
                  <m:r>
                    <w:rPr>
                      <w:rFonts w:ascii="Cambria Math" w:hAnsi="Cambria Math" w:cs="Times New Roman"/>
                    </w:rPr>
                    <m:t>n</m:t>
                  </m:r>
                </m:den>
              </m:f>
            </m:e>
          </m:rad>
        </m:oMath>
      </m:oMathPara>
    </w:p>
    <w:p w:rsidR="003D3DFE" w:rsidRDefault="003D3DFE" w:rsidP="001B5592">
      <w:pPr>
        <w:spacing w:line="480" w:lineRule="auto"/>
        <w:ind w:left="720"/>
        <w:jc w:val="both"/>
        <w:rPr>
          <w:rFonts w:ascii="Times New Roman" w:hAnsi="Times New Roman" w:cs="Times New Roman"/>
          <w:b/>
          <w:bCs/>
        </w:rPr>
      </w:pPr>
      <w:proofErr w:type="gramStart"/>
      <w:r>
        <w:rPr>
          <w:rFonts w:ascii="Times New Roman" w:hAnsi="Times New Roman" w:cs="Times New Roman"/>
        </w:rPr>
        <w:t>where</w:t>
      </w:r>
      <w:proofErr w:type="gramEnd"/>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is the number of mutations, </w:t>
      </w:r>
      <w:r>
        <w:rPr>
          <w:rFonts w:ascii="Times New Roman" w:hAnsi="Times New Roman" w:cs="Times New Roman"/>
          <w:i/>
          <w:iCs/>
        </w:rPr>
        <w:t>p</w:t>
      </w:r>
      <w:r>
        <w:rPr>
          <w:rFonts w:ascii="Times New Roman" w:hAnsi="Times New Roman" w:cs="Times New Roman"/>
        </w:rPr>
        <w:t xml:space="preserve"> is the vector of predictions and </w:t>
      </w:r>
      <w:r>
        <w:rPr>
          <w:rFonts w:ascii="Times New Roman" w:hAnsi="Times New Roman" w:cs="Times New Roman"/>
          <w:i/>
          <w:iCs/>
        </w:rPr>
        <w:t>r</w:t>
      </w:r>
      <w:r>
        <w:rPr>
          <w:rFonts w:ascii="Times New Roman" w:hAnsi="Times New Roman" w:cs="Times New Roman"/>
        </w:rPr>
        <w:t xml:space="preserve"> is the vector of experimental values.</w:t>
      </w:r>
    </w:p>
    <w:p w:rsidR="003D3DFE" w:rsidRDefault="003D3DFE" w:rsidP="001B5592">
      <w:pPr>
        <w:numPr>
          <w:ilvl w:val="0"/>
          <w:numId w:val="1"/>
        </w:numPr>
        <w:spacing w:line="480" w:lineRule="auto"/>
        <w:jc w:val="both"/>
        <w:rPr>
          <w:rFonts w:ascii="Times New Roman" w:hAnsi="Times New Roman" w:cs="Times New Roman"/>
          <w:b/>
          <w:bCs/>
        </w:rPr>
      </w:pPr>
      <w:r>
        <w:rPr>
          <w:rFonts w:ascii="Times New Roman" w:hAnsi="Times New Roman" w:cs="Times New Roman"/>
          <w:b/>
          <w:bCs/>
        </w:rPr>
        <w:t>Amount of predictions within standard deviations (PWSD)</w:t>
      </w:r>
      <w:r>
        <w:rPr>
          <w:rFonts w:ascii="Times New Roman" w:hAnsi="Times New Roman" w:cs="Times New Roman"/>
        </w:rPr>
        <w:t>: assuming a normal distribution for the experimental mea</w:t>
      </w:r>
      <w:r w:rsidR="005B342D">
        <w:rPr>
          <w:rFonts w:ascii="Times New Roman" w:hAnsi="Times New Roman" w:cs="Times New Roman"/>
        </w:rPr>
        <w:t>sures and the predicted values,</w:t>
      </w:r>
      <w:r>
        <w:rPr>
          <w:rFonts w:ascii="Times New Roman" w:hAnsi="Times New Roman" w:cs="Times New Roman"/>
        </w:rPr>
        <w:t xml:space="preserve"> </w:t>
      </w:r>
      <w:r>
        <w:rPr>
          <w:rFonts w:ascii="Times New Roman" w:hAnsi="Times New Roman" w:cs="Times New Roman"/>
          <w:i/>
          <w:iCs/>
        </w:rPr>
        <w:t>p-value</w:t>
      </w:r>
      <w:r>
        <w:rPr>
          <w:rFonts w:ascii="Times New Roman" w:hAnsi="Times New Roman" w:cs="Times New Roman"/>
        </w:rPr>
        <w:t xml:space="preserve"> from the </w:t>
      </w:r>
      <w:r>
        <w:rPr>
          <w:rFonts w:ascii="Times New Roman" w:hAnsi="Times New Roman" w:cs="Times New Roman"/>
          <w:i/>
          <w:iCs/>
        </w:rPr>
        <w:t>student's t-test</w:t>
      </w:r>
      <w:r>
        <w:rPr>
          <w:rFonts w:ascii="Times New Roman" w:hAnsi="Times New Roman" w:cs="Times New Roman"/>
        </w:rPr>
        <w:t xml:space="preserve"> for each mutation</w:t>
      </w:r>
      <w:r w:rsidR="008F0174">
        <w:rPr>
          <w:rFonts w:ascii="Times New Roman" w:hAnsi="Times New Roman" w:cs="Times New Roman"/>
        </w:rPr>
        <w:t xml:space="preserve"> </w:t>
      </w:r>
      <w:proofErr w:type="gramStart"/>
      <w:r w:rsidR="008F0174" w:rsidRPr="008F0174">
        <w:rPr>
          <w:rFonts w:ascii="Times New Roman" w:hAnsi="Times New Roman" w:cs="Times New Roman"/>
          <w:iCs/>
        </w:rPr>
        <w:t>was used</w:t>
      </w:r>
      <w:proofErr w:type="gramEnd"/>
      <w:r>
        <w:rPr>
          <w:rFonts w:ascii="Times New Roman" w:hAnsi="Times New Roman" w:cs="Times New Roman"/>
        </w:rPr>
        <w:t xml:space="preserve">. Then, the number of </w:t>
      </w:r>
      <w:r w:rsidR="005B342D">
        <w:rPr>
          <w:rFonts w:ascii="Times New Roman" w:hAnsi="Times New Roman" w:cs="Times New Roman"/>
        </w:rPr>
        <w:t>p-value greater or equal than 0.</w:t>
      </w:r>
      <w:r>
        <w:rPr>
          <w:rFonts w:ascii="Times New Roman" w:hAnsi="Times New Roman" w:cs="Times New Roman"/>
        </w:rPr>
        <w:t>05</w:t>
      </w:r>
      <w:r w:rsidR="008F0174">
        <w:rPr>
          <w:rFonts w:ascii="Times New Roman" w:hAnsi="Times New Roman" w:cs="Times New Roman"/>
        </w:rPr>
        <w:t xml:space="preserve"> </w:t>
      </w:r>
      <w:proofErr w:type="gramStart"/>
      <w:r w:rsidR="008F0174">
        <w:rPr>
          <w:rFonts w:ascii="Times New Roman" w:hAnsi="Times New Roman" w:cs="Times New Roman"/>
        </w:rPr>
        <w:t>was simply counted</w:t>
      </w:r>
      <w:proofErr w:type="gramEnd"/>
      <w:r>
        <w:rPr>
          <w:rFonts w:ascii="Times New Roman" w:hAnsi="Times New Roman" w:cs="Times New Roman"/>
        </w:rPr>
        <w:t xml:space="preserve">. Due to the difference in the standard deviations of the submissions, this index </w:t>
      </w:r>
      <w:proofErr w:type="gramStart"/>
      <w:r w:rsidR="008F0174">
        <w:rPr>
          <w:rFonts w:ascii="Times New Roman" w:hAnsi="Times New Roman" w:cs="Times New Roman"/>
        </w:rPr>
        <w:t>was even calculated</w:t>
      </w:r>
      <w:proofErr w:type="gramEnd"/>
      <w:r w:rsidR="008F0174">
        <w:rPr>
          <w:rFonts w:ascii="Times New Roman" w:hAnsi="Times New Roman" w:cs="Times New Roman"/>
        </w:rPr>
        <w:t xml:space="preserve"> </w:t>
      </w:r>
      <w:r w:rsidRPr="009151A1">
        <w:rPr>
          <w:rFonts w:ascii="Times New Roman" w:hAnsi="Times New Roman" w:cs="Times New Roman"/>
        </w:rPr>
        <w:t xml:space="preserve">using </w:t>
      </w:r>
      <w:r w:rsidR="008F0174" w:rsidRPr="009151A1">
        <w:rPr>
          <w:rFonts w:ascii="Times New Roman" w:hAnsi="Times New Roman" w:cs="Times New Roman"/>
        </w:rPr>
        <w:t>a fixed</w:t>
      </w:r>
      <w:r w:rsidRPr="009151A1">
        <w:rPr>
          <w:rFonts w:ascii="Times New Roman" w:hAnsi="Times New Roman" w:cs="Times New Roman"/>
        </w:rPr>
        <w:t xml:space="preserve"> standard deviation</w:t>
      </w:r>
      <w:r w:rsidR="008F0174" w:rsidRPr="009151A1">
        <w:rPr>
          <w:rFonts w:ascii="Times New Roman" w:hAnsi="Times New Roman" w:cs="Times New Roman"/>
        </w:rPr>
        <w:t xml:space="preserve"> of 10%</w:t>
      </w:r>
      <w:r w:rsidRPr="009151A1">
        <w:rPr>
          <w:rFonts w:ascii="Times New Roman" w:hAnsi="Times New Roman" w:cs="Times New Roman"/>
        </w:rPr>
        <w:t>.</w:t>
      </w:r>
    </w:p>
    <w:p w:rsidR="003D3DFE" w:rsidRPr="003D3DFE" w:rsidRDefault="003D3DFE" w:rsidP="001B5592">
      <w:pPr>
        <w:numPr>
          <w:ilvl w:val="0"/>
          <w:numId w:val="1"/>
        </w:numPr>
        <w:spacing w:line="480" w:lineRule="auto"/>
        <w:jc w:val="both"/>
        <w:rPr>
          <w:rFonts w:ascii="Times New Roman" w:hAnsi="Times New Roman" w:cs="Times New Roman"/>
          <w:b/>
          <w:bCs/>
        </w:rPr>
      </w:pPr>
      <w:r>
        <w:rPr>
          <w:rFonts w:ascii="Times New Roman" w:hAnsi="Times New Roman" w:cs="Times New Roman"/>
          <w:b/>
          <w:bCs/>
        </w:rPr>
        <w:t xml:space="preserve">Area </w:t>
      </w:r>
      <w:proofErr w:type="gramStart"/>
      <w:r>
        <w:rPr>
          <w:rFonts w:ascii="Times New Roman" w:hAnsi="Times New Roman" w:cs="Times New Roman"/>
          <w:b/>
          <w:bCs/>
        </w:rPr>
        <w:t>Under</w:t>
      </w:r>
      <w:proofErr w:type="gramEnd"/>
      <w:r>
        <w:rPr>
          <w:rFonts w:ascii="Times New Roman" w:hAnsi="Times New Roman" w:cs="Times New Roman"/>
          <w:b/>
          <w:bCs/>
        </w:rPr>
        <w:t xml:space="preserve"> the Curve (AUC)</w:t>
      </w:r>
      <w:r w:rsidR="008F0174">
        <w:rPr>
          <w:rFonts w:ascii="Times New Roman" w:hAnsi="Times New Roman" w:cs="Times New Roman"/>
        </w:rPr>
        <w:t>:</w:t>
      </w:r>
      <w:r>
        <w:rPr>
          <w:rFonts w:ascii="Times New Roman" w:hAnsi="Times New Roman" w:cs="Times New Roman"/>
        </w:rPr>
        <w:t xml:space="preserve"> the </w:t>
      </w:r>
      <w:r>
        <w:rPr>
          <w:rFonts w:ascii="Times New Roman" w:hAnsi="Times New Roman" w:cs="Times New Roman"/>
          <w:i/>
          <w:iCs/>
        </w:rPr>
        <w:t>performance</w:t>
      </w:r>
      <w:r>
        <w:rPr>
          <w:rFonts w:ascii="Times New Roman" w:hAnsi="Times New Roman" w:cs="Times New Roman"/>
        </w:rPr>
        <w:t xml:space="preserve"> function of the </w:t>
      </w:r>
      <w:r>
        <w:rPr>
          <w:rFonts w:ascii="Times New Roman" w:hAnsi="Times New Roman" w:cs="Times New Roman"/>
          <w:i/>
          <w:iCs/>
        </w:rPr>
        <w:t>ROCR R</w:t>
      </w:r>
      <w:r>
        <w:rPr>
          <w:rFonts w:ascii="Times New Roman" w:hAnsi="Times New Roman" w:cs="Times New Roman"/>
        </w:rPr>
        <w:t xml:space="preserve"> package</w:t>
      </w:r>
      <w:r w:rsidR="008F0174">
        <w:rPr>
          <w:rFonts w:ascii="Times New Roman" w:hAnsi="Times New Roman" w:cs="Times New Roman"/>
        </w:rPr>
        <w:t xml:space="preserve"> was used</w:t>
      </w:r>
      <w:r>
        <w:rPr>
          <w:rFonts w:ascii="Times New Roman" w:hAnsi="Times New Roman" w:cs="Times New Roman"/>
        </w:rPr>
        <w:t xml:space="preserve">. Considering that the experimental measures </w:t>
      </w:r>
      <w:r>
        <w:rPr>
          <w:rFonts w:ascii="Times New Roman" w:hAnsi="Times New Roman" w:cs="Times New Roman"/>
          <w:i/>
          <w:iCs/>
        </w:rPr>
        <w:t>e</w:t>
      </w:r>
      <w:r>
        <w:rPr>
          <w:rFonts w:ascii="Times New Roman" w:hAnsi="Times New Roman" w:cs="Times New Roman"/>
        </w:rPr>
        <w:t xml:space="preserve"> are real values (i.e. between 50 and 100), </w:t>
      </w:r>
      <w:proofErr w:type="spellStart"/>
      <w:r>
        <w:rPr>
          <w:rFonts w:ascii="Times New Roman" w:hAnsi="Times New Roman" w:cs="Times New Roman"/>
          <w:i/>
          <w:iCs/>
        </w:rPr>
        <w:t>e</w:t>
      </w:r>
      <w:proofErr w:type="spellEnd"/>
      <w:r w:rsidR="008F0174" w:rsidRPr="008F0174">
        <w:rPr>
          <w:rFonts w:ascii="Times New Roman" w:hAnsi="Times New Roman" w:cs="Times New Roman"/>
          <w:iCs/>
        </w:rPr>
        <w:t xml:space="preserve"> were converted</w:t>
      </w:r>
      <w:r>
        <w:rPr>
          <w:rFonts w:ascii="Times New Roman" w:hAnsi="Times New Roman" w:cs="Times New Roman"/>
        </w:rPr>
        <w:t xml:space="preserve"> to classes. AUC for threshold 65, 75 and 90</w:t>
      </w:r>
      <w:r w:rsidR="008F0174">
        <w:rPr>
          <w:rFonts w:ascii="Times New Roman" w:hAnsi="Times New Roman" w:cs="Times New Roman"/>
        </w:rPr>
        <w:t xml:space="preserve"> </w:t>
      </w:r>
      <w:proofErr w:type="gramStart"/>
      <w:r w:rsidR="008F0174">
        <w:rPr>
          <w:rFonts w:ascii="Times New Roman" w:hAnsi="Times New Roman" w:cs="Times New Roman"/>
        </w:rPr>
        <w:t>were computed</w:t>
      </w:r>
      <w:proofErr w:type="gramEnd"/>
      <w:r>
        <w:rPr>
          <w:rFonts w:ascii="Times New Roman" w:hAnsi="Times New Roman" w:cs="Times New Roman"/>
        </w:rPr>
        <w:t>, according to data provider suggestions.</w:t>
      </w:r>
    </w:p>
    <w:p w:rsidR="00BB0520" w:rsidRDefault="00BB0520" w:rsidP="001B5592">
      <w:pPr>
        <w:spacing w:line="480" w:lineRule="auto"/>
        <w:ind w:left="360"/>
        <w:jc w:val="both"/>
        <w:rPr>
          <w:rFonts w:ascii="Times New Roman" w:hAnsi="Times New Roman" w:cs="Times New Roman"/>
          <w:b/>
          <w:bCs/>
        </w:rPr>
      </w:pPr>
    </w:p>
    <w:p w:rsidR="003D3DFE" w:rsidRPr="00BB0520" w:rsidRDefault="003D3DFE" w:rsidP="001B5592">
      <w:pPr>
        <w:spacing w:line="480" w:lineRule="auto"/>
        <w:jc w:val="both"/>
        <w:rPr>
          <w:rFonts w:ascii="Times New Roman" w:hAnsi="Times New Roman" w:cs="Times New Roman"/>
          <w:sz w:val="22"/>
        </w:rPr>
      </w:pPr>
      <w:r w:rsidRPr="00BB0520">
        <w:rPr>
          <w:rFonts w:ascii="Times New Roman" w:hAnsi="Times New Roman" w:cs="Times New Roman"/>
          <w:b/>
          <w:bCs/>
          <w:sz w:val="28"/>
          <w:szCs w:val="30"/>
        </w:rPr>
        <w:t>Final Ranking</w:t>
      </w:r>
    </w:p>
    <w:p w:rsidR="003D3DFE" w:rsidRPr="00E01EEB" w:rsidRDefault="008F0174" w:rsidP="001B5592">
      <w:pPr>
        <w:spacing w:line="480" w:lineRule="auto"/>
        <w:jc w:val="both"/>
        <w:rPr>
          <w:rFonts w:ascii="Times New Roman" w:hAnsi="Times New Roman" w:cs="Times New Roman"/>
          <w:b/>
          <w:bCs/>
        </w:rPr>
      </w:pPr>
      <w:r>
        <w:rPr>
          <w:rFonts w:ascii="Times New Roman" w:hAnsi="Times New Roman" w:cs="Times New Roman"/>
        </w:rPr>
        <w:t>T</w:t>
      </w:r>
      <w:r w:rsidR="003D3DFE">
        <w:rPr>
          <w:rFonts w:ascii="Times New Roman" w:hAnsi="Times New Roman" w:cs="Times New Roman"/>
        </w:rPr>
        <w:t xml:space="preserve">he final ranking of a submission </w:t>
      </w:r>
      <w:proofErr w:type="spellStart"/>
      <w:r w:rsidR="003D3DFE">
        <w:rPr>
          <w:rFonts w:ascii="Times New Roman" w:hAnsi="Times New Roman" w:cs="Times New Roman"/>
          <w:i/>
          <w:iCs/>
        </w:rPr>
        <w:t>i</w:t>
      </w:r>
      <w:proofErr w:type="spellEnd"/>
      <w:r w:rsidR="003D3DFE">
        <w:rPr>
          <w:rFonts w:ascii="Times New Roman" w:hAnsi="Times New Roman" w:cs="Times New Roman"/>
        </w:rPr>
        <w:t xml:space="preserve"> </w:t>
      </w:r>
      <w:r>
        <w:rPr>
          <w:rFonts w:ascii="Times New Roman" w:hAnsi="Times New Roman" w:cs="Times New Roman"/>
        </w:rPr>
        <w:t xml:space="preserve">was </w:t>
      </w:r>
      <w:r w:rsidRPr="00E01EEB">
        <w:rPr>
          <w:rFonts w:ascii="Times New Roman" w:hAnsi="Times New Roman" w:cs="Times New Roman"/>
        </w:rPr>
        <w:t xml:space="preserve">calculated </w:t>
      </w:r>
      <w:r w:rsidR="003D3DFE" w:rsidRPr="00E01EEB">
        <w:rPr>
          <w:rFonts w:ascii="Times New Roman" w:hAnsi="Times New Roman" w:cs="Times New Roman"/>
        </w:rPr>
        <w:t>using KCC, RMS</w:t>
      </w:r>
      <w:r w:rsidR="0040742F" w:rsidRPr="00E01EEB">
        <w:rPr>
          <w:rFonts w:ascii="Times New Roman" w:hAnsi="Times New Roman" w:cs="Times New Roman"/>
        </w:rPr>
        <w:t>E</w:t>
      </w:r>
      <w:r w:rsidR="003D3DFE" w:rsidRPr="00E01EEB">
        <w:rPr>
          <w:rFonts w:ascii="Times New Roman" w:hAnsi="Times New Roman" w:cs="Times New Roman"/>
        </w:rPr>
        <w:t>, AUC (threshold = 75) and PWSD (</w:t>
      </w:r>
      <w:r w:rsidR="009151A1" w:rsidRPr="00E01EEB">
        <w:rPr>
          <w:rFonts w:ascii="Times New Roman" w:hAnsi="Times New Roman" w:cs="Times New Roman"/>
        </w:rPr>
        <w:t>fixed standard deviation of 10%</w:t>
      </w:r>
      <w:r w:rsidR="003D3DFE" w:rsidRPr="00E01EEB">
        <w:rPr>
          <w:rFonts w:ascii="Times New Roman" w:hAnsi="Times New Roman" w:cs="Times New Roman"/>
        </w:rPr>
        <w:t>)</w:t>
      </w:r>
      <w:r w:rsidR="00F746A6" w:rsidRPr="00E01EEB">
        <w:rPr>
          <w:rFonts w:ascii="Times New Roman" w:hAnsi="Times New Roman" w:cs="Times New Roman"/>
        </w:rPr>
        <w:t xml:space="preserve"> where</w:t>
      </w:r>
      <w:r w:rsidR="00F746A6" w:rsidRPr="00E01EEB">
        <w:rPr>
          <w:rFonts w:ascii="Times New Roman" w:hAnsi="Times New Roman" w:cs="Times New Roman"/>
          <w:i/>
        </w:rPr>
        <w:t xml:space="preserve"> </w:t>
      </w:r>
      <w:proofErr w:type="spellStart"/>
      <w:proofErr w:type="gramStart"/>
      <w:r w:rsidR="00F746A6" w:rsidRPr="00E01EEB">
        <w:rPr>
          <w:rFonts w:ascii="Times New Roman" w:hAnsi="Times New Roman" w:cs="Times New Roman"/>
          <w:i/>
        </w:rPr>
        <w:t>R</w:t>
      </w:r>
      <w:r w:rsidR="00F746A6" w:rsidRPr="00E01EEB">
        <w:rPr>
          <w:rFonts w:ascii="Times New Roman" w:hAnsi="Times New Roman" w:cs="Times New Roman"/>
          <w:i/>
          <w:vertAlign w:val="subscript"/>
        </w:rPr>
        <w:t>i</w:t>
      </w:r>
      <w:proofErr w:type="spellEnd"/>
      <w:r w:rsidR="00F746A6" w:rsidRPr="00E01EEB">
        <w:rPr>
          <w:rFonts w:ascii="Times New Roman" w:hAnsi="Times New Roman" w:cs="Times New Roman"/>
          <w:i/>
          <w:vertAlign w:val="subscript"/>
        </w:rPr>
        <w:t xml:space="preserve"> </w:t>
      </w:r>
      <w:r w:rsidR="00F746A6" w:rsidRPr="00E01EEB">
        <w:rPr>
          <w:rFonts w:ascii="Times New Roman" w:hAnsi="Times New Roman" w:cs="Times New Roman"/>
          <w:vertAlign w:val="subscript"/>
        </w:rPr>
        <w:t xml:space="preserve"> </w:t>
      </w:r>
      <w:r w:rsidR="00F746A6" w:rsidRPr="00E01EEB">
        <w:rPr>
          <w:rFonts w:ascii="Times New Roman" w:hAnsi="Times New Roman" w:cs="Times New Roman"/>
        </w:rPr>
        <w:t>is</w:t>
      </w:r>
      <w:proofErr w:type="gramEnd"/>
      <w:r w:rsidR="00F746A6" w:rsidRPr="00E01EEB">
        <w:rPr>
          <w:rFonts w:ascii="Times New Roman" w:hAnsi="Times New Roman" w:cs="Times New Roman"/>
        </w:rPr>
        <w:t xml:space="preserve"> the score based on which the final ranking</w:t>
      </w:r>
      <w:r w:rsidR="00F746A6" w:rsidRPr="00E01EEB">
        <w:rPr>
          <w:rFonts w:ascii="Times New Roman" w:hAnsi="Times New Roman" w:cs="Times New Roman"/>
          <w:vertAlign w:val="subscript"/>
        </w:rPr>
        <w:t xml:space="preserve"> </w:t>
      </w:r>
      <w:r w:rsidR="00F746A6" w:rsidRPr="00E01EEB">
        <w:rPr>
          <w:rFonts w:ascii="Times New Roman" w:hAnsi="Times New Roman" w:cs="Times New Roman"/>
        </w:rPr>
        <w:t xml:space="preserve">was </w:t>
      </w:r>
      <w:r w:rsidR="00F746A6" w:rsidRPr="00E01EEB">
        <w:rPr>
          <w:rFonts w:ascii="Times New Roman" w:hAnsi="Times New Roman" w:cs="Times New Roman"/>
        </w:rPr>
        <w:lastRenderedPageBreak/>
        <w:t xml:space="preserve">defined </w:t>
      </w:r>
      <w:r w:rsidR="003D3DFE" w:rsidRPr="00E01EEB">
        <w:rPr>
          <w:rFonts w:ascii="Times New Roman" w:hAnsi="Times New Roman" w:cs="Times New Roman"/>
        </w:rPr>
        <w:t>:</w:t>
      </w:r>
    </w:p>
    <w:p w:rsidR="003D3DFE" w:rsidRPr="00E01EEB" w:rsidRDefault="0040742F" w:rsidP="00BB0520">
      <w:pPr>
        <w:spacing w:line="480" w:lineRule="auto"/>
        <w:jc w:val="center"/>
      </w:pPr>
      <w:r w:rsidRPr="00E01EEB">
        <w:rPr>
          <w:position w:val="-12"/>
        </w:rPr>
        <w:object w:dxaOrig="7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2pt;height:18.6pt" o:ole="" filled="t">
            <v:fill color2="black"/>
            <v:imagedata r:id="rId6" o:title=""/>
          </v:shape>
          <o:OLEObject Type="Embed" ProgID="Equation.3" ShapeID="_x0000_i1025" DrawAspect="Content" ObjectID="_1553929141" r:id="rId7"/>
        </w:object>
      </w:r>
    </w:p>
    <w:p w:rsidR="00551D87" w:rsidRPr="00E01EEB" w:rsidRDefault="003D3DFE" w:rsidP="001B5592">
      <w:pPr>
        <w:spacing w:line="480" w:lineRule="auto"/>
        <w:jc w:val="both"/>
        <w:rPr>
          <w:rFonts w:ascii="Times New Roman" w:hAnsi="Times New Roman" w:cs="Times New Roman"/>
        </w:rPr>
      </w:pPr>
      <w:r w:rsidRPr="00E01EEB">
        <w:rPr>
          <w:rFonts w:ascii="Times New Roman" w:hAnsi="Times New Roman" w:cs="Times New Roman"/>
        </w:rPr>
        <w:t xml:space="preserve">The lower the number, the better the ranking of the submitter. </w:t>
      </w:r>
      <w:r w:rsidR="00D07266" w:rsidRPr="00E01EEB">
        <w:rPr>
          <w:rFonts w:ascii="Times New Roman" w:hAnsi="Times New Roman" w:cs="Times New Roman"/>
        </w:rPr>
        <w:t>T</w:t>
      </w:r>
      <w:r w:rsidRPr="00E01EEB">
        <w:rPr>
          <w:rFonts w:ascii="Times New Roman" w:hAnsi="Times New Roman" w:cs="Times New Roman"/>
        </w:rPr>
        <w:t xml:space="preserve">hese parameters </w:t>
      </w:r>
      <w:proofErr w:type="gramStart"/>
      <w:r w:rsidR="00D07266" w:rsidRPr="00E01EEB">
        <w:rPr>
          <w:rFonts w:ascii="Times New Roman" w:hAnsi="Times New Roman" w:cs="Times New Roman"/>
        </w:rPr>
        <w:t>were used</w:t>
      </w:r>
      <w:proofErr w:type="gramEnd"/>
      <w:r w:rsidR="00D07266" w:rsidRPr="00E01EEB">
        <w:rPr>
          <w:rFonts w:ascii="Times New Roman" w:hAnsi="Times New Roman" w:cs="Times New Roman"/>
        </w:rPr>
        <w:t xml:space="preserve"> </w:t>
      </w:r>
      <w:r w:rsidRPr="00E01EEB">
        <w:rPr>
          <w:rFonts w:ascii="Times New Roman" w:hAnsi="Times New Roman" w:cs="Times New Roman"/>
        </w:rPr>
        <w:t>because they provide different rankings</w:t>
      </w:r>
      <w:r w:rsidR="00D07266" w:rsidRPr="00E01EEB">
        <w:rPr>
          <w:rFonts w:ascii="Times New Roman" w:hAnsi="Times New Roman" w:cs="Times New Roman"/>
        </w:rPr>
        <w:t>.</w:t>
      </w:r>
      <w:r w:rsidRPr="00E01EEB">
        <w:rPr>
          <w:rFonts w:ascii="Times New Roman" w:hAnsi="Times New Roman" w:cs="Times New Roman"/>
        </w:rPr>
        <w:t xml:space="preserve"> </w:t>
      </w:r>
      <w:r w:rsidR="00D07266" w:rsidRPr="00E01EEB">
        <w:rPr>
          <w:rFonts w:ascii="Times New Roman" w:hAnsi="Times New Roman" w:cs="Times New Roman"/>
        </w:rPr>
        <w:t>S</w:t>
      </w:r>
      <w:r w:rsidRPr="00E01EEB">
        <w:rPr>
          <w:rFonts w:ascii="Times New Roman" w:hAnsi="Times New Roman" w:cs="Times New Roman"/>
        </w:rPr>
        <w:t>tatistical significance (with student t-test) of</w:t>
      </w:r>
      <w:r w:rsidR="00D07266" w:rsidRPr="00E01EEB">
        <w:rPr>
          <w:rFonts w:ascii="Times New Roman" w:hAnsi="Times New Roman" w:cs="Times New Roman"/>
        </w:rPr>
        <w:t xml:space="preserve"> </w:t>
      </w:r>
      <w:r w:rsidR="00BC2EAB" w:rsidRPr="00E01EEB">
        <w:rPr>
          <w:rFonts w:ascii="Times New Roman" w:hAnsi="Times New Roman" w:cs="Times New Roman"/>
        </w:rPr>
        <w:t xml:space="preserve">the ranking value </w:t>
      </w:r>
      <w:proofErr w:type="gramStart"/>
      <w:r w:rsidR="00BC2EAB" w:rsidRPr="00E01EEB">
        <w:rPr>
          <w:rFonts w:ascii="Times New Roman" w:hAnsi="Times New Roman" w:cs="Times New Roman"/>
        </w:rPr>
        <w:t>was also computed</w:t>
      </w:r>
      <w:proofErr w:type="gramEnd"/>
      <w:r w:rsidR="00BC2EAB" w:rsidRPr="00E01EEB">
        <w:rPr>
          <w:rFonts w:ascii="Times New Roman" w:hAnsi="Times New Roman" w:cs="Times New Roman"/>
        </w:rPr>
        <w:t xml:space="preserve"> in order to detect predictors with similar performances. </w:t>
      </w:r>
      <w:r w:rsidR="00E01EEB">
        <w:rPr>
          <w:rFonts w:ascii="Times New Roman" w:hAnsi="Times New Roman" w:cs="Times New Roman"/>
        </w:rPr>
        <w:t xml:space="preserve">The </w:t>
      </w:r>
      <w:r w:rsidR="0066059F" w:rsidRPr="00E01EEB">
        <w:t xml:space="preserve">code </w:t>
      </w:r>
      <w:r w:rsidR="00E01EEB">
        <w:t>used for a</w:t>
      </w:r>
      <w:r w:rsidR="00E01EEB" w:rsidRPr="00E01EEB">
        <w:t xml:space="preserve">ssessment </w:t>
      </w:r>
      <w:r w:rsidR="0066059F" w:rsidRPr="00E01EEB">
        <w:t>is available upon request to the corresponding author.</w:t>
      </w:r>
    </w:p>
    <w:p w:rsidR="0066059F" w:rsidRDefault="0066059F" w:rsidP="001B5592">
      <w:pPr>
        <w:spacing w:line="480" w:lineRule="auto"/>
        <w:jc w:val="both"/>
        <w:rPr>
          <w:rFonts w:ascii="Times New Roman" w:hAnsi="Times New Roman" w:cs="Times New Roman"/>
          <w:b/>
          <w:sz w:val="28"/>
          <w:szCs w:val="30"/>
        </w:rPr>
      </w:pPr>
    </w:p>
    <w:p w:rsidR="00551D87" w:rsidRPr="00BB0520" w:rsidRDefault="00DA244C" w:rsidP="001B5592">
      <w:pPr>
        <w:spacing w:line="480" w:lineRule="auto"/>
        <w:jc w:val="both"/>
        <w:rPr>
          <w:rFonts w:ascii="Times New Roman" w:hAnsi="Times New Roman" w:cs="Times New Roman"/>
          <w:b/>
          <w:sz w:val="28"/>
          <w:szCs w:val="30"/>
        </w:rPr>
      </w:pPr>
      <w:r w:rsidRPr="00BB0520">
        <w:rPr>
          <w:rFonts w:ascii="Times New Roman" w:hAnsi="Times New Roman" w:cs="Times New Roman"/>
          <w:b/>
          <w:sz w:val="28"/>
          <w:szCs w:val="30"/>
        </w:rPr>
        <w:t>Predictor</w:t>
      </w:r>
      <w:r w:rsidR="00551D87" w:rsidRPr="00BB0520">
        <w:rPr>
          <w:rFonts w:ascii="Times New Roman" w:hAnsi="Times New Roman" w:cs="Times New Roman"/>
          <w:b/>
          <w:sz w:val="28"/>
          <w:szCs w:val="30"/>
        </w:rPr>
        <w:t xml:space="preserve"> method descriptions</w:t>
      </w:r>
    </w:p>
    <w:p w:rsidR="00551D87" w:rsidRDefault="00551D87" w:rsidP="001B5592">
      <w:pPr>
        <w:spacing w:line="480" w:lineRule="auto"/>
        <w:jc w:val="both"/>
        <w:rPr>
          <w:rFonts w:ascii="Times New Roman" w:hAnsi="Times New Roman" w:cs="Times New Roman"/>
        </w:rPr>
      </w:pPr>
      <w:r w:rsidRPr="00BA33DB">
        <w:rPr>
          <w:rFonts w:ascii="Times New Roman" w:hAnsi="Times New Roman" w:cs="Times New Roman"/>
        </w:rPr>
        <w:t xml:space="preserve">Participants used a wide range of approaches to generate predictions. A short description of each group’s method </w:t>
      </w:r>
      <w:r w:rsidR="005B342D">
        <w:rPr>
          <w:rFonts w:ascii="Times New Roman" w:hAnsi="Times New Roman" w:cs="Times New Roman"/>
        </w:rPr>
        <w:t>follows</w:t>
      </w:r>
      <w:r w:rsidRPr="00BA33DB">
        <w:rPr>
          <w:rFonts w:ascii="Times New Roman" w:hAnsi="Times New Roman" w:cs="Times New Roman"/>
        </w:rPr>
        <w:t>.</w:t>
      </w:r>
    </w:p>
    <w:p w:rsidR="00551D87" w:rsidRPr="00BA33DB" w:rsidRDefault="00551D87" w:rsidP="001B5592">
      <w:pPr>
        <w:spacing w:line="480" w:lineRule="auto"/>
        <w:jc w:val="both"/>
        <w:rPr>
          <w:rFonts w:ascii="Times New Roman" w:hAnsi="Times New Roman" w:cs="Times New Roman"/>
        </w:rPr>
      </w:pPr>
    </w:p>
    <w:p w:rsidR="00045007" w:rsidRPr="00BA33DB" w:rsidRDefault="00045007" w:rsidP="001B5592">
      <w:pPr>
        <w:spacing w:line="480" w:lineRule="auto"/>
        <w:jc w:val="both"/>
        <w:rPr>
          <w:rFonts w:ascii="Times New Roman" w:hAnsi="Times New Roman" w:cs="Times New Roman"/>
          <w:b/>
        </w:rPr>
      </w:pPr>
      <w:r w:rsidRPr="00BA33DB">
        <w:rPr>
          <w:rFonts w:ascii="Times New Roman" w:hAnsi="Times New Roman" w:cs="Times New Roman"/>
          <w:b/>
        </w:rPr>
        <w:t>Bromberg laboratory</w:t>
      </w:r>
      <w:r>
        <w:rPr>
          <w:rFonts w:ascii="Times New Roman" w:hAnsi="Times New Roman" w:cs="Times New Roman"/>
          <w:b/>
        </w:rPr>
        <w:t xml:space="preserve"> (submissions 2,</w:t>
      </w:r>
      <w:r w:rsidR="005B342D">
        <w:rPr>
          <w:rFonts w:ascii="Times New Roman" w:hAnsi="Times New Roman" w:cs="Times New Roman"/>
          <w:b/>
        </w:rPr>
        <w:t xml:space="preserve"> </w:t>
      </w:r>
      <w:r>
        <w:rPr>
          <w:rFonts w:ascii="Times New Roman" w:hAnsi="Times New Roman" w:cs="Times New Roman"/>
          <w:b/>
        </w:rPr>
        <w:t>11,</w:t>
      </w:r>
      <w:r w:rsidR="005B342D">
        <w:rPr>
          <w:rFonts w:ascii="Times New Roman" w:hAnsi="Times New Roman" w:cs="Times New Roman"/>
          <w:b/>
        </w:rPr>
        <w:t xml:space="preserve"> </w:t>
      </w:r>
      <w:r>
        <w:rPr>
          <w:rFonts w:ascii="Times New Roman" w:hAnsi="Times New Roman" w:cs="Times New Roman"/>
          <w:b/>
        </w:rPr>
        <w:t>17)</w:t>
      </w:r>
    </w:p>
    <w:p w:rsidR="00045007" w:rsidRPr="00BA33DB" w:rsidRDefault="00045007" w:rsidP="001B5592">
      <w:pPr>
        <w:spacing w:line="480" w:lineRule="auto"/>
        <w:jc w:val="both"/>
        <w:rPr>
          <w:rFonts w:ascii="Times New Roman" w:hAnsi="Times New Roman" w:cs="Times New Roman"/>
        </w:rPr>
      </w:pPr>
      <w:r w:rsidRPr="00BA33DB">
        <w:rPr>
          <w:rFonts w:ascii="Times New Roman" w:hAnsi="Times New Roman" w:cs="Times New Roman"/>
        </w:rPr>
        <w:t>Predictions of change in proliferation rate were made using SNAP (Screening for Non-Acceptable Polymorphisms)</w:t>
      </w:r>
      <w:r>
        <w:rPr>
          <w:rFonts w:ascii="Times New Roman" w:hAnsi="Times New Roman" w:cs="Times New Roman"/>
        </w:rPr>
        <w:t xml:space="preserve"> </w:t>
      </w:r>
      <w:r>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{"citationID":"WXng1Dml","properties":{"formattedCitation":"(Bromberg and Rost, 2007; Hecht et al., 2015)","plainCitation":"(Bromberg and Rost, 2007; Hecht et al., 2015)"},"citationItems":[{"id":5231,"uris":["http://zotero.org/users/3155950/items/HWTW2J77"],"uri":["http://zotero.org/users/3155950/items/HWTW2J77"],"itemData":{"id":5231,"type":"article-journal","title":"SNAP: predict effect of non-synonymous polymorphisms on function","container-title":"Nucleic Acids Research","page":"3823-3835","volume":"35","issue":"11","source":"PubMed Central","abstract":"Many genetic variations are single nucleotide polymorphisms (SNPs). Non-synonymous SNPs are ‘neutral’ if the resulting point-mutated protein is not functionally discernible from the wild type and ‘non-neutral’ otherwise. The ability to identify non-neutral substitutions could significantly aid targeting disease causing detrimental mutations, as well as SNPs that increase the fitness of particular phenotypes. Here, we introduced comprehensive data sets to assess the performance of methods that predict SNP effects. Along we introduced SNAP (screening for non-acceptable polymorphisms), a neural network-based method for the prediction of the functional effects of non-synonymous SNPs. SNAP needs only sequence information as input, but benefits from functional and structural annotations, if available. In a cross-validation test on over 80 000 mutants, SNAP identified 80% of the non-neutral substitutions at 77% accuracy and 76% of the neutral substitutions at 80% accuracy. This constituted an important improvement over other methods; the improvement rose to over ten percentage points for mutants for which existing methods disagreed. Possibly even more importantly SNAP introduced a well-calibrated measure for the reliability of each prediction. This measure will allow users to focus on the most accurate predictions and/or the most severe effects. Available at http://www.rostlab.org/services/SNAP","DOI":"10.1093/nar/gkm238","ISSN":"0305-1048","note":"PMID: 17526529\nPMCID: PMC1920242","shortTitle":"SNAP","journalAbbreviation":"Nucleic Acids Res","author":[{"family":"Bromberg","given":"Yana"},{"family":"Rost","given":"Burkhard"}],"issued":{"date-parts":[["2007",6]]},"PMID":"17526529","PMCID":"PMC1920242"}},{"id":5242,"uris":["http://zotero.org/users/3155950/items/TMIGSZ5W"],"uri":["http://zotero.org/users/3155950/items/TMIGSZ5W"],"itemData":{"id":5242,"type":"article-journal","title":"Better prediction of functional effects for sequence variants","container-title":"BMC Genomics","page":"1-12","volume":"16","issue":"8","source":"BioMed Central","abstract":"Elucidating the effects of naturally occurring genetic variation is one of the major challenges for personalized health and personalized medicine. Here, we introduce SNAP2, a novel neural network based classifier that improves over the state-of-the-art in distinguishing between effect and neutral variants. Our method's improved performance results from screening many potentially relevant protein features and from refining our development data sets. Cross-validated on &gt;100k experimentally annotated variants, SNAP2 significantly outperformed other methods, attaining a two-state accuracy (effect/neutral) of 83%. SNAP2 also outperformed combinations of other methods. Performance increased for human variants but much more so for other organisms. Our method's carefully calibrated reliability index informs selection of variants for experimental follow up, with the most strongly predicted half of all effect variants predicted at over 96% accuracy. As expected, the evolutionary information from automatically generated multiple sequence alignments gave the strongest signal for the prediction. However, we also optimized our new method to perform surprisingly well even without alignments. This feature reduces prediction runtime by over two orders of magnitude, enables cross-genome comparisons, and renders our new method as the best solution for the 10-20% of sequence orphans. SNAP2 is available at:                   https://rostlab.org/services/snap2web","DOI":"10.1186/1471-2164-16-S8-S1","ISSN":"1471-2164","journalAbbreviation":"BMC Genomics","author":[{"family":"Hecht","given":"Maximilian"},{"family":"Bromberg","given":"Yana"},{"family":"Rost","given":"Burkhard"}],"issued":{"date-parts":[["2015"]]}}}],"schema":"https://github.com/citation-style-language/schema/raw/master/csl-citation.json"} </w:instrText>
      </w:r>
      <w:r>
        <w:rPr>
          <w:rFonts w:ascii="Times New Roman" w:hAnsi="Times New Roman" w:cs="Times New Roman"/>
        </w:rPr>
        <w:fldChar w:fldCharType="separate"/>
      </w:r>
      <w:r w:rsidRPr="0088798C">
        <w:rPr>
          <w:rFonts w:ascii="Times New Roman" w:hAnsi="Times New Roman" w:cs="Times New Roman"/>
        </w:rPr>
        <w:t>(Bromberg and Rost, 2007; Hecht et al., 2015)</w:t>
      </w:r>
      <w:r>
        <w:rPr>
          <w:rFonts w:ascii="Times New Roman" w:hAnsi="Times New Roman" w:cs="Times New Roman"/>
        </w:rPr>
        <w:fldChar w:fldCharType="end"/>
      </w:r>
      <w:r>
        <w:rPr>
          <w:rFonts w:ascii="Times New Roman" w:hAnsi="Times New Roman" w:cs="Times New Roman"/>
        </w:rPr>
        <w:t>,</w:t>
      </w:r>
      <w:r w:rsidRPr="00BA33DB">
        <w:rPr>
          <w:rFonts w:ascii="Times New Roman" w:hAnsi="Times New Roman" w:cs="Times New Roman"/>
        </w:rPr>
        <w:t xml:space="preserve"> a neural network-based method for evaluation of functional effects of single amino acid substitutions. For each substitution, SNAP produces a score, computed as the mean prediction of ten neural nets trained on different folds of SNAP cross-validation. SNAP scores≤0 indicate no change in protein function (neutral), while SNAP scores&gt;</w:t>
      </w:r>
      <w:proofErr w:type="gramStart"/>
      <w:r w:rsidRPr="00BA33DB">
        <w:rPr>
          <w:rFonts w:ascii="Times New Roman" w:hAnsi="Times New Roman" w:cs="Times New Roman"/>
        </w:rPr>
        <w:t>0</w:t>
      </w:r>
      <w:proofErr w:type="gramEnd"/>
      <w:r w:rsidRPr="00BA33DB">
        <w:rPr>
          <w:rFonts w:ascii="Times New Roman" w:hAnsi="Times New Roman" w:cs="Times New Roman"/>
        </w:rPr>
        <w:t xml:space="preserve"> indicate functional effect (non-neutral). Although SNAP scores do not map directly to percentage change in proliferation rate, we have previously observed </w:t>
      </w:r>
      <w:r>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{"citationID":"e4b7c2ijl","properties":{"formattedCitation":"(Bromberg et al., 2013)","plainCitation":"(Bromberg et al., 2013)"},"citationItems":[{"id":5212,"uris":["http://zotero.org/users/3155950/items/2NK7JZ83"],"uri":["http://zotero.org/users/3155950/items/2NK7JZ83"],"itemData":{"id":5212,"type":"article-journal","title":"Neutral and weakly nonneutral sequence variants may define individuality","container-title":"Proceedings of the National Academy of Sciences of the United States of America","page":"14255-14260","volume":"110","issue":"35","source":"PubMed","abstract":"Large-scale computational analyses of the growing wealth of genome-variation data consistently tell two distinct stories. The first is expected: coding variants reported in disease-related databases significantly alter the function of affected proteins. The second is surprising: the genomes of healthy individuals appear to carry many variants that are predicted to have some effect on function. As long as the complete experimental analysis of all human genome variants remains impossible, computational methods, such as PolyPhen, SNAP, and SIFT, might provide important insights. These methods capture the effects of particular variants very well and can highlight trends in populations of variants. Diseases are, arguably, extreme phenotypic variations and are often attributable to one or a few severely functionally disruptive variants. Our findings suggest a genomic basis of the different nondisease phenotypes. Prediction methods indicate that variants in seemingly healthy individuals tend to be neutral or weakly disruptive for protein molecular function. These variant effects are predicted to be largely either experimentally undetectable or are not deemed significant enough to be published. This may suggest that nondisease phenotypes arise through combinations of many variants whose effects are weakly nonneutral (damaging or enhancing) to the molecular protein function but fall within the wild-type range of overall physiological function.","DOI":"10.1073/pnas.1216613110","ISSN":"1091-6490","note":"PMID: 23940345\nPMCID: PMC3761624","journalAbbreviation":"Proc. Natl. Acad. Sci. U.S.A.","language":"eng","author":[{"family":"Bromberg","given":"Yana"},{"family":"Kahn","given":"Peter C."},{"family":"Rost","given":"Burkhard"}],"issued":{"date-parts":[["2013",8,27]]},"PMID":"23940345","PMCID":"PMC3761624"}}],"schema":"https://github.com/citation-style-language/schema/raw/master/csl-citation.json"} </w:instrText>
      </w:r>
      <w:r>
        <w:rPr>
          <w:rFonts w:ascii="Times New Roman" w:hAnsi="Times New Roman" w:cs="Times New Roman"/>
        </w:rPr>
        <w:fldChar w:fldCharType="separate"/>
      </w:r>
      <w:r w:rsidRPr="0088798C">
        <w:rPr>
          <w:rFonts w:ascii="Times New Roman" w:hAnsi="Times New Roman" w:cs="Times New Roman"/>
        </w:rPr>
        <w:t>(Bromberg et al., 2013)</w:t>
      </w:r>
      <w:r>
        <w:rPr>
          <w:rFonts w:ascii="Times New Roman" w:hAnsi="Times New Roman" w:cs="Times New Roman"/>
        </w:rPr>
        <w:fldChar w:fldCharType="end"/>
      </w:r>
      <w:r w:rsidRPr="00BA33DB">
        <w:rPr>
          <w:rFonts w:ascii="Times New Roman" w:hAnsi="Times New Roman" w:cs="Times New Roman"/>
        </w:rPr>
        <w:t xml:space="preserve"> that increased scores correlate with the severity of protein function change. Here, we used the scores as reference and made predictions of change in proliferation rate in three different ways described below. Note that for submission, standard deviation values </w:t>
      </w:r>
      <w:proofErr w:type="gramStart"/>
      <w:r w:rsidRPr="00BA33DB">
        <w:rPr>
          <w:rFonts w:ascii="Times New Roman" w:hAnsi="Times New Roman" w:cs="Times New Roman"/>
        </w:rPr>
        <w:t>were interpreted</w:t>
      </w:r>
      <w:proofErr w:type="gramEnd"/>
      <w:r w:rsidRPr="00BA33DB">
        <w:rPr>
          <w:rFonts w:ascii="Times New Roman" w:hAnsi="Times New Roman" w:cs="Times New Roman"/>
        </w:rPr>
        <w:t xml:space="preserve"> in a non-statistical fashion.</w:t>
      </w:r>
    </w:p>
    <w:p w:rsidR="00045007" w:rsidRPr="00BA33DB" w:rsidRDefault="00045007" w:rsidP="001B5592">
      <w:pPr>
        <w:widowControl/>
        <w:numPr>
          <w:ilvl w:val="0"/>
          <w:numId w:val="3"/>
        </w:numPr>
        <w:suppressAutoHyphens w:val="0"/>
        <w:spacing w:after="200" w:line="480" w:lineRule="auto"/>
        <w:jc w:val="both"/>
        <w:rPr>
          <w:rFonts w:ascii="Times New Roman" w:hAnsi="Times New Roman" w:cs="Times New Roman"/>
        </w:rPr>
      </w:pPr>
      <w:r w:rsidRPr="00BA33DB">
        <w:rPr>
          <w:rFonts w:ascii="Times New Roman" w:hAnsi="Times New Roman" w:cs="Times New Roman"/>
        </w:rPr>
        <w:lastRenderedPageBreak/>
        <w:t xml:space="preserve">For neutral predictions we report no change, proliferation rate=0.5. For non-neutral predictions SNAP scores≥60 indicated proliferation=1.0. SNAP scores in 0 to 60 range </w:t>
      </w:r>
      <w:proofErr w:type="gramStart"/>
      <w:r w:rsidRPr="00BA33DB">
        <w:rPr>
          <w:rFonts w:ascii="Times New Roman" w:hAnsi="Times New Roman" w:cs="Times New Roman"/>
        </w:rPr>
        <w:t>were normalized</w:t>
      </w:r>
      <w:proofErr w:type="gramEnd"/>
      <w:r w:rsidRPr="00BA33DB">
        <w:rPr>
          <w:rFonts w:ascii="Times New Roman" w:hAnsi="Times New Roman" w:cs="Times New Roman"/>
        </w:rPr>
        <w:t xml:space="preserve"> to represent the 0.5 to 1.0 range in proliferation rate. “Standard deviation” was pre-set at 0.05</w:t>
      </w:r>
    </w:p>
    <w:p w:rsidR="00045007" w:rsidRPr="00BA33DB" w:rsidRDefault="00045007" w:rsidP="001B5592">
      <w:pPr>
        <w:pStyle w:val="Paragrafoelenco"/>
        <w:numPr>
          <w:ilvl w:val="0"/>
          <w:numId w:val="3"/>
        </w:numPr>
        <w:spacing w:line="480" w:lineRule="auto"/>
        <w:jc w:val="both"/>
        <w:rPr>
          <w:rFonts w:ascii="Times New Roman" w:hAnsi="Times New Roman" w:cs="Times New Roman"/>
        </w:rPr>
      </w:pPr>
      <w:r w:rsidRPr="00BA33DB">
        <w:rPr>
          <w:rFonts w:ascii="Times New Roman" w:hAnsi="Times New Roman" w:cs="Times New Roman"/>
        </w:rPr>
        <w:t>Predictions computed as in (A), but “standard deviation” was additionally computed from the scores of each of the ten SNAP-component networks</w:t>
      </w:r>
    </w:p>
    <w:p w:rsidR="00045007" w:rsidRDefault="00045007" w:rsidP="001B5592">
      <w:pPr>
        <w:widowControl/>
        <w:numPr>
          <w:ilvl w:val="0"/>
          <w:numId w:val="3"/>
        </w:numPr>
        <w:suppressAutoHyphens w:val="0"/>
        <w:spacing w:after="200" w:line="480" w:lineRule="auto"/>
        <w:jc w:val="both"/>
        <w:rPr>
          <w:rFonts w:ascii="Times New Roman" w:hAnsi="Times New Roman" w:cs="Times New Roman"/>
        </w:rPr>
      </w:pPr>
      <w:r w:rsidRPr="00BA33DB">
        <w:rPr>
          <w:rFonts w:ascii="Times New Roman" w:hAnsi="Times New Roman" w:cs="Times New Roman"/>
        </w:rPr>
        <w:t xml:space="preserve">Predictions estimated </w:t>
      </w:r>
      <w:proofErr w:type="gramStart"/>
      <w:r w:rsidRPr="00BA33DB">
        <w:rPr>
          <w:rFonts w:ascii="Times New Roman" w:hAnsi="Times New Roman" w:cs="Times New Roman"/>
        </w:rPr>
        <w:t>as:</w:t>
      </w:r>
      <w:proofErr w:type="gramEnd"/>
      <w:r w:rsidRPr="00BA33DB">
        <w:rPr>
          <w:rFonts w:ascii="Times New Roman" w:hAnsi="Times New Roman" w:cs="Times New Roman"/>
        </w:rPr>
        <w:t xml:space="preserve"> SNAP score ≥37 </w:t>
      </w:r>
      <w:r w:rsidRPr="00BA33DB">
        <w:rPr>
          <w:rFonts w:ascii="Times New Roman" w:hAnsi="Times New Roman" w:cs="Times New Roman"/>
        </w:rPr>
        <w:sym w:font="Wingdings" w:char="F0E0"/>
      </w:r>
      <w:r w:rsidRPr="00BA33DB">
        <w:rPr>
          <w:rFonts w:ascii="Times New Roman" w:hAnsi="Times New Roman" w:cs="Times New Roman"/>
        </w:rPr>
        <w:t xml:space="preserve"> 1.0 proliferation rate (severe effect), score ≥ 27 </w:t>
      </w:r>
      <w:r w:rsidRPr="00BA33DB">
        <w:rPr>
          <w:rFonts w:ascii="Times New Roman" w:hAnsi="Times New Roman" w:cs="Times New Roman"/>
        </w:rPr>
        <w:sym w:font="Wingdings" w:char="F0E0"/>
      </w:r>
      <w:r w:rsidRPr="00BA33DB">
        <w:rPr>
          <w:rFonts w:ascii="Times New Roman" w:hAnsi="Times New Roman" w:cs="Times New Roman"/>
        </w:rPr>
        <w:t xml:space="preserve"> 0.8 (moderate effect), and score ≥ 16 </w:t>
      </w:r>
      <w:r w:rsidRPr="00BA33DB">
        <w:rPr>
          <w:rFonts w:ascii="Times New Roman" w:hAnsi="Times New Roman" w:cs="Times New Roman"/>
        </w:rPr>
        <w:sym w:font="Wingdings" w:char="F0E0"/>
      </w:r>
      <w:r w:rsidRPr="00BA33DB">
        <w:rPr>
          <w:rFonts w:ascii="Times New Roman" w:hAnsi="Times New Roman" w:cs="Times New Roman"/>
        </w:rPr>
        <w:t xml:space="preserve"> 0.6 (mild effect). “Standard deviation” was 0.01 for SNAP score≥60, 0.15 for score</w:t>
      </w:r>
      <w:r w:rsidRPr="00BA33DB">
        <w:rPr>
          <w:rFonts w:ascii="Times New Roman" w:eastAsia="MS Gothic" w:hAnsi="Times New Roman" w:cs="Times New Roman"/>
          <w:color w:val="000000"/>
        </w:rPr>
        <w:t>≤</w:t>
      </w:r>
      <w:r w:rsidRPr="00BA33DB">
        <w:rPr>
          <w:rFonts w:ascii="Times New Roman" w:hAnsi="Times New Roman" w:cs="Times New Roman"/>
        </w:rPr>
        <w:t>0, and the intermediates normalized within this range.</w:t>
      </w:r>
    </w:p>
    <w:p w:rsidR="00E01EEB" w:rsidRDefault="00E01EEB" w:rsidP="00BB0520">
      <w:pPr>
        <w:widowControl/>
        <w:suppressAutoHyphens w:val="0"/>
        <w:spacing w:line="480" w:lineRule="auto"/>
        <w:jc w:val="both"/>
        <w:rPr>
          <w:rFonts w:ascii="Times New Roman" w:hAnsi="Times New Roman" w:cs="Times New Roman"/>
          <w:b/>
        </w:rPr>
      </w:pPr>
    </w:p>
    <w:p w:rsidR="00045007" w:rsidRPr="0088798C" w:rsidRDefault="00921B10" w:rsidP="00BB0520">
      <w:pPr>
        <w:widowControl/>
        <w:suppressAutoHyphens w:val="0"/>
        <w:spacing w:line="480" w:lineRule="auto"/>
        <w:jc w:val="both"/>
        <w:rPr>
          <w:rFonts w:ascii="Times New Roman" w:hAnsi="Times New Roman" w:cs="Times New Roman"/>
          <w:b/>
        </w:rPr>
      </w:pPr>
      <w:proofErr w:type="spellStart"/>
      <w:r w:rsidRPr="00921B10">
        <w:rPr>
          <w:rFonts w:ascii="Times New Roman" w:hAnsi="Times New Roman" w:cs="Times New Roman"/>
          <w:b/>
        </w:rPr>
        <w:t>BioFolD</w:t>
      </w:r>
      <w:proofErr w:type="spellEnd"/>
      <w:r w:rsidR="00045007" w:rsidRPr="00921B10">
        <w:rPr>
          <w:rFonts w:ascii="Times New Roman" w:hAnsi="Times New Roman" w:cs="Times New Roman"/>
          <w:b/>
        </w:rPr>
        <w:t xml:space="preserve"> laboratory</w:t>
      </w:r>
      <w:r w:rsidR="00045007" w:rsidRPr="0088798C">
        <w:rPr>
          <w:rFonts w:ascii="Times New Roman" w:hAnsi="Times New Roman" w:cs="Times New Roman"/>
          <w:b/>
        </w:rPr>
        <w:t xml:space="preserve"> (submissions 5,</w:t>
      </w:r>
      <w:r w:rsidR="005B342D">
        <w:rPr>
          <w:rFonts w:ascii="Times New Roman" w:hAnsi="Times New Roman" w:cs="Times New Roman"/>
          <w:b/>
        </w:rPr>
        <w:t xml:space="preserve"> </w:t>
      </w:r>
      <w:r w:rsidR="00045007" w:rsidRPr="0088798C">
        <w:rPr>
          <w:rFonts w:ascii="Times New Roman" w:hAnsi="Times New Roman" w:cs="Times New Roman"/>
          <w:b/>
        </w:rPr>
        <w:t>12,</w:t>
      </w:r>
      <w:r w:rsidR="005B342D">
        <w:rPr>
          <w:rFonts w:ascii="Times New Roman" w:hAnsi="Times New Roman" w:cs="Times New Roman"/>
          <w:b/>
        </w:rPr>
        <w:t xml:space="preserve"> </w:t>
      </w:r>
      <w:r w:rsidR="00045007" w:rsidRPr="0088798C">
        <w:rPr>
          <w:rFonts w:ascii="Times New Roman" w:hAnsi="Times New Roman" w:cs="Times New Roman"/>
          <w:b/>
        </w:rPr>
        <w:t>18)</w:t>
      </w:r>
    </w:p>
    <w:p w:rsidR="00045007" w:rsidRPr="00BA33DB" w:rsidRDefault="00045007" w:rsidP="001B5592">
      <w:pPr>
        <w:spacing w:line="480" w:lineRule="auto"/>
        <w:jc w:val="both"/>
        <w:rPr>
          <w:rFonts w:ascii="Times New Roman" w:hAnsi="Times New Roman" w:cs="Times New Roman"/>
        </w:rPr>
      </w:pPr>
      <w:proofErr w:type="spellStart"/>
      <w:r w:rsidRPr="00BA33DB">
        <w:rPr>
          <w:rFonts w:ascii="Times New Roman" w:hAnsi="Times New Roman" w:cs="Times New Roman"/>
        </w:rPr>
        <w:t>SNPs&amp;GO</w:t>
      </w:r>
      <w:proofErr w:type="spellEnd"/>
      <w:r w:rsidRPr="00BA33DB">
        <w:rPr>
          <w:rFonts w:ascii="Times New Roman" w:hAnsi="Times New Roman" w:cs="Times New Roman"/>
        </w:rPr>
        <w:t xml:space="preserve"> is a machine-learning tool implementing a Support Vector Machine </w:t>
      </w:r>
      <w:r w:rsidRPr="00061E5A">
        <w:rPr>
          <w:rFonts w:ascii="Times New Roman" w:hAnsi="Times New Roman" w:cs="Times New Roman"/>
        </w:rPr>
        <w:t>algorithm</w:t>
      </w:r>
      <w:r>
        <w:rPr>
          <w:rFonts w:ascii="Times New Roman" w:hAnsi="Times New Roman" w:cs="Times New Roman"/>
        </w:rPr>
        <w:t xml:space="preserve"> </w:t>
      </w:r>
      <w:r w:rsidRPr="00061E5A">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{"citationID":"jjbq4b7r0","properties":{"formattedCitation":"(Calabrese et al., 2009)","plainCitation":"(Calabrese et al., 2009)"},"citationItems":[{"id":5237,"uris":["http://zotero.org/users/3155950/items/P8346DZN"],"uri":["http://zotero.org/users/3155950/items/P8346DZN"],"itemData":{"id":5237,"type":"article-journal","title":"Functional annotations improve the predictive score of human disease-related mutations in proteins","container-title":"Human Mutation","page":"1237-1244","volume":"30","issue":"8","source":"PubMed","abstract":"Single nucleotide polymorphisms (SNPs) are the simplest and most frequent form of human DNA variation, also valuable as genetic markers of disease susceptibility. The most investigated SNPs are missense mutations resulting in residue substitutions in the protein. Here we propose SNPs&amp;GO, an accurate method that, starting from a protein sequence, can predict whether a mutation is disease related or not by exploiting the protein functional annotation. The scoring efficiency of SNPs&amp;GO is as high as 82%, with a Matthews correlation coefficient equal to 0.63 over a wide set of annotated nonsynonymous mutations in proteins, including 16,330 disease-related and 17,432 neutral polymorphisms. SNPs&amp;GO collects in unique framework information derived from protein sequence, evolutionary information, and function as encoded in the Gene Ontology terms, and outperforms other available predictive methods.","DOI":"10.1002/humu.21047","ISSN":"1098-1004","note":"PMID: 19514061","journalAbbreviation":"Hum. Mutat.","language":"eng","author":[{"family":"Calabrese","given":"Remo"},{"family":"Capriotti","given":"Emidio"},{"family":"Fariselli","given":"Piero"},{"family":"Martelli","given":"Pier Luigi"},{"family":"Casadio","given":"Rita"}],"issued":{"date-parts":[["2009",8]]},"PMID":"19514061"}}],"schema":"https://github.com/citation-style-language/schema/raw/master/csl-citation.json"} </w:instrText>
      </w:r>
      <w:r w:rsidRPr="00061E5A">
        <w:rPr>
          <w:rFonts w:ascii="Times New Roman" w:hAnsi="Times New Roman" w:cs="Times New Roman"/>
        </w:rPr>
        <w:fldChar w:fldCharType="separate"/>
      </w:r>
      <w:r w:rsidRPr="00061E5A">
        <w:rPr>
          <w:rFonts w:ascii="Times New Roman" w:hAnsi="Times New Roman" w:cs="Times New Roman"/>
        </w:rPr>
        <w:t>(Calabrese et al., 2009)</w:t>
      </w:r>
      <w:r w:rsidRPr="00061E5A">
        <w:rPr>
          <w:rFonts w:ascii="Times New Roman" w:hAnsi="Times New Roman" w:cs="Times New Roman"/>
        </w:rPr>
        <w:fldChar w:fldCharType="end"/>
      </w:r>
      <w:r w:rsidRPr="00061E5A">
        <w:rPr>
          <w:rFonts w:ascii="Times New Roman" w:hAnsi="Times New Roman" w:cs="Times New Roman"/>
        </w:rPr>
        <w:t>.</w:t>
      </w:r>
      <w:r w:rsidRPr="00BA33DB">
        <w:rPr>
          <w:rFonts w:ascii="Times New Roman" w:hAnsi="Times New Roman" w:cs="Times New Roman"/>
        </w:rPr>
        <w:t xml:space="preserve"> This method predicts the impact of nonsynonymous Single Nucleotide Variants (</w:t>
      </w:r>
      <w:proofErr w:type="spellStart"/>
      <w:r w:rsidRPr="00BA33DB">
        <w:rPr>
          <w:rFonts w:ascii="Times New Roman" w:hAnsi="Times New Roman" w:cs="Times New Roman"/>
        </w:rPr>
        <w:t>nsSNVs</w:t>
      </w:r>
      <w:proofErr w:type="spellEnd"/>
      <w:r w:rsidRPr="00BA33DB">
        <w:rPr>
          <w:rFonts w:ascii="Times New Roman" w:hAnsi="Times New Roman" w:cs="Times New Roman"/>
        </w:rPr>
        <w:t>) taking in input ~50 features derived protein sequence/profile, calculated using BLAST algorithm</w:t>
      </w:r>
      <w:r>
        <w:rPr>
          <w:rFonts w:ascii="Times New Roman" w:hAnsi="Times New Roman" w:cs="Times New Roman"/>
        </w:rPr>
        <w:t xml:space="preserve"> </w:t>
      </w:r>
      <w:r>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{"citationID":"205pl11u9j","properties":{"formattedCitation":"(Altschul et al., 1997)","plainCitation":"(Altschul et al., 1997)"},"citationItems":[{"id":5216,"uris":["http://zotero.org/users/3155950/items/66VIB59H"],"uri":["http://zotero.org/users/3155950/items/66VIB59H"],"itemData":{"id":5216,"type":"article-journal","title":"Gapped BLAST and PSI-BLAST: a new generation of protein database search programs","container-title":"Nucleic Acids Research","page":"3389-3402","volume":"25","issue":"17","source":"PubMed","abstract":"The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superfamily.","ISSN":"0305-1048","note":"PMID: 9254694\nPMCID: PMC146917","shortTitle":"Gapped BLAST and PSI-BLAST","journalAbbreviation":"Nucleic Acids Res.","language":"eng","author":[{"family":"Altschul","given":"S. F."},{"family":"Madden","given":"T. L."},{"family":"Schäffer","given":"A. A."},{"family":"Zhang","given":"J."},{"family":"Zhang","given":"Z."},{"family":"Miller","given":"W."},{"family":"Lipman","given":"D. J."}],"issued":{"date-parts":[["1997",9,1]]},"PMID":"9254694","PMCID":"PMC146917"}}],"schema":"https://github.com/citation-style-language/schema/raw/master/csl-citation.json"} </w:instrText>
      </w:r>
      <w:r>
        <w:rPr>
          <w:rFonts w:ascii="Times New Roman" w:hAnsi="Times New Roman" w:cs="Times New Roman"/>
        </w:rPr>
        <w:fldChar w:fldCharType="separate"/>
      </w:r>
      <w:r w:rsidRPr="00061E5A">
        <w:rPr>
          <w:rFonts w:ascii="Times New Roman" w:hAnsi="Times New Roman" w:cs="Times New Roman"/>
        </w:rPr>
        <w:t>(Altschul et al., 1997)</w:t>
      </w:r>
      <w:r>
        <w:rPr>
          <w:rFonts w:ascii="Times New Roman" w:hAnsi="Times New Roman" w:cs="Times New Roman"/>
        </w:rPr>
        <w:fldChar w:fldCharType="end"/>
      </w:r>
      <w:r w:rsidRPr="00BA33DB">
        <w:rPr>
          <w:rFonts w:ascii="Times New Roman" w:hAnsi="Times New Roman" w:cs="Times New Roman"/>
        </w:rPr>
        <w:t xml:space="preserve">, and functional information encoded by the Gene Ontology terms. </w:t>
      </w:r>
      <w:proofErr w:type="spellStart"/>
      <w:r w:rsidRPr="00BA33DB">
        <w:rPr>
          <w:rFonts w:ascii="Times New Roman" w:hAnsi="Times New Roman" w:cs="Times New Roman"/>
        </w:rPr>
        <w:t>SNPs&amp;GO</w:t>
      </w:r>
      <w:proofErr w:type="spellEnd"/>
      <w:r w:rsidRPr="00BA33DB">
        <w:rPr>
          <w:rFonts w:ascii="Times New Roman" w:hAnsi="Times New Roman" w:cs="Times New Roman"/>
        </w:rPr>
        <w:t xml:space="preserve"> returns in output a score that represents the probability of each </w:t>
      </w:r>
      <w:proofErr w:type="spellStart"/>
      <w:r w:rsidRPr="00BA33DB">
        <w:rPr>
          <w:rFonts w:ascii="Times New Roman" w:hAnsi="Times New Roman" w:cs="Times New Roman"/>
        </w:rPr>
        <w:t>nsSNV</w:t>
      </w:r>
      <w:proofErr w:type="spellEnd"/>
      <w:r w:rsidRPr="00BA33DB">
        <w:rPr>
          <w:rFonts w:ascii="Times New Roman" w:hAnsi="Times New Roman" w:cs="Times New Roman"/>
        </w:rPr>
        <w:t xml:space="preserve"> to be pathogenic. The last version of </w:t>
      </w:r>
      <w:proofErr w:type="spellStart"/>
      <w:r w:rsidRPr="00BA33DB">
        <w:rPr>
          <w:rFonts w:ascii="Times New Roman" w:hAnsi="Times New Roman" w:cs="Times New Roman"/>
        </w:rPr>
        <w:t>SNPs&amp;GO</w:t>
      </w:r>
      <w:proofErr w:type="spellEnd"/>
      <w:r>
        <w:rPr>
          <w:rFonts w:ascii="Times New Roman" w:hAnsi="Times New Roman" w:cs="Times New Roman"/>
        </w:rPr>
        <w:t xml:space="preserve"> </w:t>
      </w:r>
      <w:r>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{"citationID":"tipviuhfe","properties":{"formattedCitation":"(Capriotti et al., 2013; Capriotti and Altman, 2011)","plainCitation":"(Capriotti et al., 2013; Capriotti and Altman, 2011)"},"citationItems":[{"id":5214,"uris":["http://zotero.org/users/3155950/items/59W7HCRT"],"uri":["http://zotero.org/users/3155950/items/59W7HCRT"],"itemData":{"id":5214,"type":"article-journal","title":"WS-SNPs&amp;GO: a web server for predicting the deleterious effect of human protein variants using functional annotation","container-title":"BMC Genomics","page":"1-7","volume":"14","issue":"3","source":"BioMed Central","abstract":"SNPs&amp;GO is a method for the prediction of deleterious Single Amino acid Polymorphisms (SAPs) using protein functional annotation. In this work, we present the web server implementation of SNPs&amp;GO (WS-SNPs&amp;GO). The server is based on Support Vector Machines (SVM) and for a given protein, its input comprises: the sequence and/or its three-dimensional structure (when available), a set of target variations and its functional Gene Ontology (GO) terms. The output of the server provides, for each protein variation, the probabilities to be associated to human diseases.","DOI":"10.1186/1471-2164-14-S3-S6","ISSN":"1471-2164","shortTitle":"WS-SNPs&amp;GO","journalAbbreviation":"BMC Genomics","author":[{"family":"Capriotti","given":"Emidio"},{"family":"Calabrese","given":"Remo"},{"family":"Fariselli","given":"Piero"},{"family":"Martelli","given":"Pier Luigi"},{"family":"Altman","given":"Russ B."},{"family":"Casadio","given":"Rita"}],"issued":{"date-parts":[["2013"]]}}},{"id":5239,"uris":["http://zotero.org/users/3155950/items/S2DD5S99"],"uri":["http://zotero.org/users/3155950/items/S2DD5S99"],"itemData":{"id":5239,"type":"article-journal","title":"Improving the prediction of disease-related variants using protein three-dimensional structure","container-title":"BMC Bioinformatics","page":"1-11","volume":"12","issue":"4","source":"BioMed Central","abstract":"Single Nucleotide Polymorphisms (SNPs) are an important source of human genome variability. Non-synonymous SNPs occurring in coding regions result in single amino acid polymorphisms (SAPs) that may affect protein function and lead to pathology. Several methods attempt to estimate the impact of SAPs using different sources of information. Although sequence-based predictors have shown good performance, the quality of these predictions can be further improved by introducing new features derived from three-dimensional protein structures.","DOI":"10.1186/1471-2105-12-S4-S3","ISSN":"1471-2105","journalAbbreviation":"BMC Bioinformatics","author":[{"family":"Capriotti","given":"Emidio"},{"family":"Altman","given":"Russ B."}],"issued":{"date-parts":[["2011"]]}}}],"schema":"https://github.com/citation-style-language/schema/raw/master/csl-citation.json"} </w:instrText>
      </w:r>
      <w:r>
        <w:rPr>
          <w:rFonts w:ascii="Times New Roman" w:hAnsi="Times New Roman" w:cs="Times New Roman"/>
        </w:rPr>
        <w:fldChar w:fldCharType="separate"/>
      </w:r>
      <w:r w:rsidRPr="00061E5A">
        <w:rPr>
          <w:rFonts w:ascii="Times New Roman" w:hAnsi="Times New Roman" w:cs="Times New Roman"/>
        </w:rPr>
        <w:t>(Capriotti et al., 2013; Capriotti and Altman, 2011)</w:t>
      </w:r>
      <w:r>
        <w:rPr>
          <w:rFonts w:ascii="Times New Roman" w:hAnsi="Times New Roman" w:cs="Times New Roman"/>
        </w:rPr>
        <w:fldChar w:fldCharType="end"/>
      </w:r>
      <w:r w:rsidRPr="00BA33DB">
        <w:rPr>
          <w:rFonts w:ascii="Times New Roman" w:hAnsi="Times New Roman" w:cs="Times New Roman"/>
          <w:highlight w:val="green"/>
        </w:rPr>
        <w:fldChar w:fldCharType="begin"/>
      </w:r>
      <w:r w:rsidRPr="00BA33DB">
        <w:rPr>
          <w:rFonts w:ascii="Times New Roman" w:hAnsi="Times New Roman" w:cs="Times New Roman"/>
          <w:highlight w:val="green"/>
        </w:rPr>
        <w:instrText>ADDIN EN.CITE.DATA</w:instrText>
      </w:r>
      <w:r w:rsidRPr="00BA33DB">
        <w:rPr>
          <w:rFonts w:ascii="Times New Roman" w:hAnsi="Times New Roman" w:cs="Times New Roman"/>
          <w:highlight w:val="green"/>
        </w:rPr>
        <w:fldChar w:fldCharType="end"/>
      </w:r>
      <w:r w:rsidRPr="00BA33DB">
        <w:rPr>
          <w:rFonts w:ascii="Times New Roman" w:hAnsi="Times New Roman" w:cs="Times New Roman"/>
        </w:rPr>
        <w:t xml:space="preserve">, maintained by the </w:t>
      </w:r>
      <w:proofErr w:type="spellStart"/>
      <w:r w:rsidRPr="00BA33DB">
        <w:rPr>
          <w:rFonts w:ascii="Times New Roman" w:hAnsi="Times New Roman" w:cs="Times New Roman"/>
        </w:rPr>
        <w:t>BioFolD</w:t>
      </w:r>
      <w:proofErr w:type="spellEnd"/>
      <w:r w:rsidRPr="00BA33DB">
        <w:rPr>
          <w:rFonts w:ascii="Times New Roman" w:hAnsi="Times New Roman" w:cs="Times New Roman"/>
        </w:rPr>
        <w:t xml:space="preserve"> Unit (http://snps.biofold.org/snps-and-go), has been trained and tested on a set ~38,000 missense mutations extracted from </w:t>
      </w:r>
      <w:proofErr w:type="spellStart"/>
      <w:r w:rsidRPr="00BA33DB">
        <w:rPr>
          <w:rFonts w:ascii="Times New Roman" w:hAnsi="Times New Roman" w:cs="Times New Roman"/>
        </w:rPr>
        <w:t>Swi</w:t>
      </w:r>
      <w:r w:rsidRPr="00061E5A">
        <w:rPr>
          <w:rFonts w:ascii="Times New Roman" w:hAnsi="Times New Roman" w:cs="Times New Roman"/>
        </w:rPr>
        <w:t>ssVar</w:t>
      </w:r>
      <w:proofErr w:type="spellEnd"/>
      <w:r w:rsidRPr="00061E5A">
        <w:rPr>
          <w:rFonts w:ascii="Times New Roman" w:hAnsi="Times New Roman" w:cs="Times New Roman"/>
        </w:rPr>
        <w:t xml:space="preserve"> database (http://swissvar.expasy.org/). When</w:t>
      </w:r>
      <w:r w:rsidRPr="00BA33DB">
        <w:rPr>
          <w:rFonts w:ascii="Times New Roman" w:hAnsi="Times New Roman" w:cs="Times New Roman"/>
        </w:rPr>
        <w:t xml:space="preserve"> tested in cross-validation on this dataset, </w:t>
      </w:r>
      <w:proofErr w:type="spellStart"/>
      <w:r w:rsidRPr="00BA33DB">
        <w:rPr>
          <w:rFonts w:ascii="Times New Roman" w:hAnsi="Times New Roman" w:cs="Times New Roman"/>
        </w:rPr>
        <w:t>SNPs&amp;GO</w:t>
      </w:r>
      <w:proofErr w:type="spellEnd"/>
      <w:r w:rsidRPr="00BA33DB">
        <w:rPr>
          <w:rFonts w:ascii="Times New Roman" w:hAnsi="Times New Roman" w:cs="Times New Roman"/>
        </w:rPr>
        <w:t xml:space="preserve"> achieved an overall accuracy of ~81% and an AUC of 0.88.  In previous independent benchmark tests </w:t>
      </w:r>
      <w:proofErr w:type="spellStart"/>
      <w:r w:rsidRPr="00BA33DB">
        <w:rPr>
          <w:rFonts w:ascii="Times New Roman" w:hAnsi="Times New Roman" w:cs="Times New Roman"/>
        </w:rPr>
        <w:t>SNPs&amp;GO</w:t>
      </w:r>
      <w:proofErr w:type="spellEnd"/>
      <w:r w:rsidRPr="00BA33DB">
        <w:rPr>
          <w:rFonts w:ascii="Times New Roman" w:hAnsi="Times New Roman" w:cs="Times New Roman"/>
        </w:rPr>
        <w:t xml:space="preserve"> resulted among the best methods for predicting dele</w:t>
      </w:r>
      <w:r w:rsidRPr="00061E5A">
        <w:rPr>
          <w:rFonts w:ascii="Times New Roman" w:hAnsi="Times New Roman" w:cs="Times New Roman"/>
        </w:rPr>
        <w:t xml:space="preserve">terious </w:t>
      </w:r>
      <w:proofErr w:type="spellStart"/>
      <w:r w:rsidRPr="00061E5A">
        <w:rPr>
          <w:rFonts w:ascii="Times New Roman" w:hAnsi="Times New Roman" w:cs="Times New Roman"/>
        </w:rPr>
        <w:t>nsS</w:t>
      </w:r>
      <w:r w:rsidRPr="00061E5A">
        <w:rPr>
          <w:rFonts w:ascii="Times New Roman" w:hAnsi="Times New Roman" w:cs="Times New Roman"/>
        </w:rPr>
        <w:fldChar w:fldCharType="begin"/>
      </w:r>
      <w:r w:rsidRPr="00061E5A">
        <w:rPr>
          <w:rFonts w:ascii="Times New Roman" w:hAnsi="Times New Roman" w:cs="Times New Roman"/>
        </w:rPr>
        <w:instrText>ADDIN EN.CITE &lt;EndNote&gt;&lt;Cite&gt;&lt;Author&gt;Thusberg&lt;/Author&gt;&lt;Year&gt;2011&lt;/Year&gt;&lt;RecNum&gt;34&lt;/RecNum&gt;&lt;DisplayText&gt;(Thusberg, et al., 2011)&lt;/DisplayText&gt;&lt;record&gt;&lt;rec-number&gt;34&lt;/rec-number&gt;&lt;foreign-keys&gt;&lt;key app="EN" db-id="tzxearez8zzr01ezz22vpd9qffta0spa2wpe" timestamp="1474323494"&gt;34&lt;/key&gt;&lt;/foreign-keys&gt;&lt;ref-type name="Journal Article"&gt;17&lt;/ref-type&gt;&lt;contributors&gt;&lt;authors&gt;&lt;author&gt;Thusberg, J.&lt;/author&gt;&lt;author&gt;Olatubosun, A.&lt;/author&gt;&lt;author&gt;Vihinen, M.&lt;/author&gt;&lt;/authors&gt;&lt;/contributors&gt;&lt;auth-address&gt;Institute of Biomedical Technology, F1-33014 University of Tampere, Finland; Buck Institute for Age Research, Novato, California.&lt;/auth-address&gt;&lt;titles&gt;&lt;title&gt;Performance of mutation pathogenicity prediction methods on missense variants&lt;/title&gt;&lt;secondary-title&gt;Hum Mutat&lt;/secondary-title&gt;&lt;/titles&gt;&lt;periodical&gt;&lt;full-title&gt;Hum Mutat&lt;/full-title&gt;&lt;/periodical&gt;&lt;pages&gt;358-68&lt;/pages&gt;&lt;volume&gt;32&lt;/volume&gt;&lt;number&gt;4&lt;/number&gt;&lt;edition&gt;2011/03/18&lt;/edition&gt;&lt;dates&gt;&lt;year&gt;2011&lt;/year&gt;&lt;pub-dates&gt;&lt;date&gt;Apr&lt;/date&gt;&lt;/pub-dates&gt;&lt;/dates&gt;&lt;isbn&gt;1098-1004 (Electronic)&amp;#xD;1059-7794 (Linking)&lt;/isbn&gt;&lt;label&gt;21412949&lt;/label&gt;&lt;urls&gt;&lt;related-urls&gt;&lt;url&gt;&lt;style face="underline" font="default" size="100%"&gt;http://www.ncbi.nlm.nih.gov/entrez/query.fcgi?cmd=Retrieve&amp;amp;db=PubMed&amp;amp;dopt=Citation&amp;amp;list_uids=21412949&lt;/style&gt;&lt;/url&gt;&lt;/related-urls&gt;&lt;/urls&gt;&lt;electronic-resource-num&gt;&lt;style face="underline" font="default" size="100%"&gt;10.1002/humu.21445&lt;/style&gt;&lt;/electronic-resource-num&gt;&lt;language&gt;eng&lt;/language&gt;&lt;/record&gt;&lt;/Cite&gt;&lt;/EndNote&gt;</w:instrText>
      </w:r>
      <w:r w:rsidRPr="00061E5A">
        <w:rPr>
          <w:rFonts w:ascii="Times New Roman" w:hAnsi="Times New Roman" w:cs="Times New Roman"/>
        </w:rPr>
        <w:fldChar w:fldCharType="separate"/>
      </w:r>
      <w:bookmarkStart w:id="0" w:name="__Fieldmark__87_142315501"/>
      <w:r w:rsidRPr="00061E5A">
        <w:rPr>
          <w:rFonts w:ascii="Times New Roman" w:hAnsi="Times New Roman" w:cs="Times New Roman"/>
        </w:rPr>
        <w:t>N</w:t>
      </w:r>
      <w:proofErr w:type="spellEnd"/>
      <w:r w:rsidRPr="00061E5A">
        <w:rPr>
          <w:rFonts w:ascii="Times New Roman" w:hAnsi="Times New Roman" w:cs="Times New Roman"/>
        </w:rPr>
        <w:fldChar w:fldCharType="begin"/>
      </w:r>
      <w:r w:rsidRPr="00061E5A">
        <w:rPr>
          <w:rFonts w:ascii="Times New Roman" w:hAnsi="Times New Roman" w:cs="Times New Roman"/>
        </w:rPr>
        <w:instrText>ADDIN EN.CITE &lt;EndNote&gt;&lt;Cite&gt;&lt;Author&gt;Thusberg&lt;/Author&gt;&lt;Year&gt;2011&lt;/Year&gt;&lt;RecNum&gt;34&lt;/RecNum&gt;&lt;DisplayText&gt;(Thusberg, et al., 2011)&lt;/DisplayText&gt;&lt;record&gt;&lt;rec-number&gt;34&lt;/rec-number&gt;&lt;foreign-keys&gt;&lt;key app="EN" db-id="tzxearez8zzr01ezz22vpd9qffta0spa2wpe" timestamp="1474323494"&gt;34&lt;/key&gt;&lt;/foreign-keys&gt;&lt;ref-type name="Journal Article"&gt;17&lt;/ref-type&gt;&lt;contributors&gt;&lt;authors&gt;&lt;author&gt;Thusberg, J.&lt;/author&gt;&lt;author&gt;Olatubosun, A.&lt;/author&gt;&lt;author&gt;Vihinen, M.&lt;/author&gt;&lt;/authors&gt;&lt;/contributors&gt;&lt;auth-address&gt;Institute of Biomedical Technology, F1-33014 University of Tampere, Finland; Buck Institute for Age Research, Novato, California.&lt;/auth-address&gt;&lt;titles&gt;&lt;title&gt;Performance of mutation pathogenicity prediction methods on missense variants&lt;/title&gt;&lt;secondary-title&gt;Hum Mutat&lt;/secondary-title&gt;&lt;/titles&gt;&lt;periodical&gt;&lt;full-title&gt;Hum Mutat&lt;/full-title&gt;&lt;/periodical&gt;&lt;pages&gt;358-68&lt;/pages&gt;&lt;volume&gt;32&lt;/volume&gt;&lt;number&gt;4&lt;/number&gt;&lt;edition&gt;2011/03/18&lt;/edition&gt;&lt;dates&gt;&lt;year&gt;2011&lt;/year&gt;&lt;pub-dates&gt;&lt;date&gt;Apr&lt;/date&gt;&lt;/pub-dates&gt;&lt;/dates&gt;&lt;isbn&gt;1098-1004 (Electronic)&amp;#xD;1059-7794 (Linking)&lt;/isbn&gt;&lt;label&gt;21412949&lt;/label&gt;&lt;urls&gt;&lt;related-urls&gt;&lt;url&gt;&lt;style face="underline" font="default" size="100%"&gt;http://www.ncbi.nlm.nih.gov/entrez/query.fcgi?cmd=Retrieve&amp;amp;db=PubMed&amp;amp;dopt=Citation&amp;amp;list_uids=21412949&lt;/style&gt;&lt;/url&gt;&lt;/related-urls&gt;&lt;/urls&gt;&lt;electronic-resource-num&gt;&lt;style face="underline" font="default" size="100%"&gt;10.1002/humu.21445&lt;/style&gt;&lt;/electronic-resource-num&gt;&lt;language&gt;eng&lt;/language&gt;&lt;/record&gt;&lt;/Cite&gt;&lt;/EndNote&gt;</w:instrText>
      </w:r>
      <w:r w:rsidRPr="00061E5A">
        <w:rPr>
          <w:rFonts w:ascii="Times New Roman" w:hAnsi="Times New Roman" w:cs="Times New Roman"/>
        </w:rPr>
        <w:fldChar w:fldCharType="separate"/>
      </w:r>
      <w:r w:rsidRPr="00061E5A">
        <w:rPr>
          <w:rFonts w:ascii="Times New Roman" w:hAnsi="Times New Roman" w:cs="Times New Roman"/>
        </w:rPr>
        <w:t xml:space="preserve">Vs </w:t>
      </w:r>
      <w:r w:rsidRPr="00061E5A">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{"citationID":"2q6r6l2fm8","properties":{"formattedCitation":"(Thusberg et al., 2011)","plainCitation":"(Thusberg et al., 2011)"},"citationItems":[{"id":5221,"uris":["http://zotero.org/users/3155950/items/BSKZJ9BW"],"uri":["http://zotero.org/users/3155950/items/BSKZJ9BW"],"itemData":{"id":5221,"type":"article-journal","title":"Performance of mutation pathogenicity prediction methods on missense variants","container-title":"Human Mutation","page":"358-368","volume":"32","issue":"4","source":"PubMed","abstract":"Single nucleotide polymorphisms (SNPs) are the most common form of genetic variation in humans. The number of SNPs identified in the human genome is growing rapidly, but attaining experimental knowledge about the possible disease association of variants is laborious and time-consuming. Several computational methods have been developed for the classification of SNPs according to their predicted pathogenicity. In this study, we have evaluated the performance of nine widely used pathogenicity prediction methods available on the Internet. The evaluated methods were MutPred, nsSNPAnalyzer, Panther, PhD-SNP, PolyPhen, PolyPhen2, SIFT, SNAP, and SNPs&amp;GO. The methods were tested with a set of over 40,000 pathogenic and neutral variants. We also assessed whether the type of original or substituting amino acid residue, the structural class of the protein, or the structural environment of the amino acid substitution, had an effect on the prediction performance. The performances of the programs ranged from poor (MCC 0.19) to reasonably good (MCC 0.65), and the results from the programs correlated poorly. The overall best performing methods in this study were SNPs&amp;GO and MutPred, with accuracies reaching 0.82 and 0.81, respectively.","DOI":"10.1002/humu.21445","ISSN":"1098-1004","note":"PMID: 21412949","journalAbbreviation":"Hum. Mutat.","language":"eng","author":[{"family":"Thusberg","given":"Janita"},{"family":"Olatubosun","given":"Ayodeji"},{"family":"Vihinen","given":"Mauno"}],"issued":{"date-parts":[["2011",4]]},"PMID":"21412949"}}],"schema":"https://github.com/citation-style-language/schema/raw/master/csl-citation.json"} </w:instrText>
      </w:r>
      <w:r w:rsidRPr="00061E5A">
        <w:rPr>
          <w:rFonts w:ascii="Times New Roman" w:hAnsi="Times New Roman" w:cs="Times New Roman"/>
        </w:rPr>
        <w:fldChar w:fldCharType="separate"/>
      </w:r>
      <w:r w:rsidRPr="00061E5A">
        <w:rPr>
          <w:rFonts w:ascii="Times New Roman" w:hAnsi="Times New Roman" w:cs="Times New Roman"/>
        </w:rPr>
        <w:t>(Thusberg et al., 2011)</w:t>
      </w:r>
      <w:r w:rsidRPr="00061E5A">
        <w:rPr>
          <w:rFonts w:ascii="Times New Roman" w:hAnsi="Times New Roman" w:cs="Times New Roman"/>
        </w:rPr>
        <w:fldChar w:fldCharType="end"/>
      </w:r>
      <w:bookmarkEnd w:id="0"/>
      <w:r w:rsidRPr="00061E5A">
        <w:rPr>
          <w:rFonts w:ascii="Times New Roman" w:hAnsi="Times New Roman" w:cs="Times New Roman"/>
        </w:rPr>
        <w:fldChar w:fldCharType="end"/>
      </w:r>
      <w:r w:rsidRPr="00061E5A">
        <w:rPr>
          <w:rFonts w:ascii="Times New Roman" w:hAnsi="Times New Roman" w:cs="Times New Roman"/>
        </w:rPr>
        <w:t xml:space="preserve">.  </w:t>
      </w:r>
      <w:r w:rsidRPr="00061E5A">
        <w:rPr>
          <w:rFonts w:ascii="Times New Roman" w:hAnsi="Times New Roman" w:cs="Times New Roman"/>
        </w:rPr>
        <w:fldChar w:fldCharType="end"/>
      </w:r>
    </w:p>
    <w:p w:rsidR="00045007" w:rsidRDefault="00045007" w:rsidP="001B5592">
      <w:pPr>
        <w:widowControl/>
        <w:suppressAutoHyphens w:val="0"/>
        <w:spacing w:after="200" w:line="480" w:lineRule="auto"/>
        <w:jc w:val="both"/>
        <w:rPr>
          <w:rFonts w:ascii="Times New Roman" w:hAnsi="Times New Roman" w:cs="Times New Roman"/>
        </w:rPr>
      </w:pPr>
    </w:p>
    <w:p w:rsidR="00E01EEB" w:rsidRDefault="00E01EEB" w:rsidP="001B5592">
      <w:pPr>
        <w:widowControl/>
        <w:suppressAutoHyphens w:val="0"/>
        <w:spacing w:after="200" w:line="480" w:lineRule="auto"/>
        <w:jc w:val="both"/>
        <w:rPr>
          <w:rFonts w:ascii="Times New Roman" w:hAnsi="Times New Roman" w:cs="Times New Roman"/>
        </w:rPr>
      </w:pPr>
    </w:p>
    <w:p w:rsidR="00045007" w:rsidRPr="00BA33DB" w:rsidRDefault="005B342D" w:rsidP="00BB0520">
      <w:pPr>
        <w:widowControl/>
        <w:suppressAutoHyphens w:val="0"/>
        <w:spacing w:line="480" w:lineRule="auto"/>
        <w:jc w:val="both"/>
        <w:rPr>
          <w:rFonts w:ascii="Times New Roman" w:hAnsi="Times New Roman" w:cs="Times New Roman"/>
          <w:b/>
        </w:rPr>
      </w:pPr>
      <w:proofErr w:type="spellStart"/>
      <w:r>
        <w:rPr>
          <w:rFonts w:ascii="Times New Roman" w:hAnsi="Times New Roman" w:cs="Times New Roman"/>
          <w:b/>
        </w:rPr>
        <w:lastRenderedPageBreak/>
        <w:t>Casadio</w:t>
      </w:r>
      <w:proofErr w:type="spellEnd"/>
      <w:r w:rsidR="00045007" w:rsidRPr="00BA33DB">
        <w:rPr>
          <w:rFonts w:ascii="Times New Roman" w:hAnsi="Times New Roman" w:cs="Times New Roman"/>
          <w:b/>
        </w:rPr>
        <w:t xml:space="preserve"> laboratory</w:t>
      </w:r>
      <w:r w:rsidR="00045007">
        <w:rPr>
          <w:rFonts w:ascii="Times New Roman" w:hAnsi="Times New Roman" w:cs="Times New Roman"/>
          <w:b/>
        </w:rPr>
        <w:t xml:space="preserve"> </w:t>
      </w:r>
      <w:r w:rsidR="00045007" w:rsidRPr="0088798C">
        <w:rPr>
          <w:rFonts w:ascii="Times New Roman" w:hAnsi="Times New Roman" w:cs="Times New Roman"/>
          <w:b/>
        </w:rPr>
        <w:t>(submission 3)</w:t>
      </w:r>
    </w:p>
    <w:p w:rsidR="00045007" w:rsidRDefault="00045007" w:rsidP="001B5592">
      <w:pPr>
        <w:spacing w:line="480" w:lineRule="auto"/>
        <w:jc w:val="both"/>
        <w:rPr>
          <w:rFonts w:ascii="Times New Roman" w:hAnsi="Times New Roman" w:cs="Times New Roman"/>
        </w:rPr>
      </w:pPr>
      <w:r w:rsidRPr="002D20CE">
        <w:rPr>
          <w:rFonts w:ascii="Times New Roman" w:hAnsi="Times New Roman" w:cs="Times New Roman"/>
        </w:rPr>
        <w:t xml:space="preserve">The effect of the P16 variants has been predicted </w:t>
      </w:r>
      <w:r w:rsidRPr="00F84DED">
        <w:rPr>
          <w:rFonts w:ascii="Times New Roman" w:hAnsi="Times New Roman" w:cs="Times New Roman"/>
        </w:rPr>
        <w:t xml:space="preserve">with </w:t>
      </w:r>
      <w:proofErr w:type="spellStart"/>
      <w:r w:rsidRPr="00F84DED">
        <w:rPr>
          <w:rFonts w:ascii="Times New Roman" w:hAnsi="Times New Roman" w:cs="Times New Roman"/>
        </w:rPr>
        <w:t>SNPs&amp;GO</w:t>
      </w:r>
      <w:proofErr w:type="spellEnd"/>
      <w:r w:rsidRPr="00F84DED">
        <w:rPr>
          <w:rFonts w:ascii="Times New Roman" w:hAnsi="Times New Roman" w:cs="Times New Roman"/>
        </w:rPr>
        <w:t xml:space="preserve"> </w:t>
      </w:r>
      <w:r w:rsidRPr="00F84DED">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{"citationID":"1uguf6lgvk","properties":{"formattedCitation":"(Calabrese et al., 2009)","plainCitation":"(Calabrese et al., 2009)"},"citationItems":[{"id":5237,"uris":["http://zotero.org/users/3155950/items/P8346DZN"],"uri":["http://zotero.org/users/3155950/items/P8346DZN"],"itemData":{"id":5237,"type":"article-journal","title":"Functional annotations improve the predictive score of human disease-related mutations in proteins","container-title":"Human Mutation","page":"1237-1244","volume":"30","issue":"8","source":"PubMed","abstract":"Single nucleotide polymorphisms (SNPs) are the simplest and most frequent form of human DNA variation, also valuable as genetic markers of disease susceptibility. The most investigated SNPs are missense mutations resulting in residue substitutions in the protein. Here we propose SNPs&amp;GO, an accurate method that, starting from a protein sequence, can predict whether a mutation is disease related or not by exploiting the protein functional annotation. The scoring efficiency of SNPs&amp;GO is as high as 82%, with a Matthews correlation coefficient equal to 0.63 over a wide set of annotated nonsynonymous mutations in proteins, including 16,330 disease-related and 17,432 neutral polymorphisms. SNPs&amp;GO collects in unique framework information derived from protein sequence, evolutionary information, and function as encoded in the Gene Ontology terms, and outperforms other available predictive methods.","DOI":"10.1002/humu.21047","ISSN":"1098-1004","note":"PMID: 19514061","journalAbbreviation":"Hum. Mutat.","language":"eng","author":[{"family":"Calabrese","given":"Remo"},{"family":"Capriotti","given":"Emidio"},{"family":"Fariselli","given":"Piero"},{"family":"Martelli","given":"Pier Luigi"},{"family":"Casadio","given":"Rita"}],"issued":{"date-parts":[["2009",8]]},"PMID":"19514061"}}],"schema":"https://github.com/citation-style-language/schema/raw/master/csl-citation.json"} </w:instrText>
      </w:r>
      <w:r w:rsidRPr="00F84DED">
        <w:rPr>
          <w:rFonts w:ascii="Times New Roman" w:hAnsi="Times New Roman" w:cs="Times New Roman"/>
        </w:rPr>
        <w:fldChar w:fldCharType="separate"/>
      </w:r>
      <w:r w:rsidRPr="00F84DED">
        <w:rPr>
          <w:rFonts w:ascii="Times New Roman" w:hAnsi="Times New Roman" w:cs="Times New Roman"/>
        </w:rPr>
        <w:t>(Calabrese et al., 2009)</w:t>
      </w:r>
      <w:r w:rsidRPr="00F84DED">
        <w:rPr>
          <w:rFonts w:ascii="Times New Roman" w:hAnsi="Times New Roman" w:cs="Times New Roman"/>
        </w:rPr>
        <w:fldChar w:fldCharType="end"/>
      </w:r>
      <w:r w:rsidRPr="00F84DED">
        <w:rPr>
          <w:rFonts w:ascii="Times New Roman" w:hAnsi="Times New Roman" w:cs="Times New Roman"/>
        </w:rPr>
        <w:t>.</w:t>
      </w:r>
      <w:r w:rsidRPr="002D20CE">
        <w:rPr>
          <w:rFonts w:ascii="Times New Roman" w:hAnsi="Times New Roman" w:cs="Times New Roman"/>
        </w:rPr>
        <w:t xml:space="preserve"> All the variants in the training set (18 variations) and in the testing set (10 variations) </w:t>
      </w:r>
      <w:proofErr w:type="gramStart"/>
      <w:r w:rsidRPr="002D20CE">
        <w:rPr>
          <w:rFonts w:ascii="Times New Roman" w:hAnsi="Times New Roman" w:cs="Times New Roman"/>
        </w:rPr>
        <w:t>are classified</w:t>
      </w:r>
      <w:proofErr w:type="gramEnd"/>
      <w:r w:rsidRPr="002D20CE">
        <w:rPr>
          <w:rFonts w:ascii="Times New Roman" w:hAnsi="Times New Roman" w:cs="Times New Roman"/>
        </w:rPr>
        <w:t xml:space="preserve"> with </w:t>
      </w:r>
      <w:proofErr w:type="spellStart"/>
      <w:r w:rsidRPr="002D20CE">
        <w:rPr>
          <w:rFonts w:ascii="Times New Roman" w:hAnsi="Times New Roman" w:cs="Times New Roman"/>
        </w:rPr>
        <w:t>SNPs&amp;GO</w:t>
      </w:r>
      <w:proofErr w:type="spellEnd"/>
      <w:r w:rsidRPr="002D20CE">
        <w:rPr>
          <w:rFonts w:ascii="Times New Roman" w:hAnsi="Times New Roman" w:cs="Times New Roman"/>
        </w:rPr>
        <w:t xml:space="preserve"> as correlated to disease. Each prediction of </w:t>
      </w:r>
      <w:proofErr w:type="spellStart"/>
      <w:r w:rsidRPr="002D20CE">
        <w:rPr>
          <w:rFonts w:ascii="Times New Roman" w:hAnsi="Times New Roman" w:cs="Times New Roman"/>
        </w:rPr>
        <w:t>SNPs&amp;GO</w:t>
      </w:r>
      <w:proofErr w:type="spellEnd"/>
      <w:r w:rsidRPr="002D20CE">
        <w:rPr>
          <w:rFonts w:ascii="Times New Roman" w:hAnsi="Times New Roman" w:cs="Times New Roman"/>
        </w:rPr>
        <w:t xml:space="preserve"> </w:t>
      </w:r>
      <w:proofErr w:type="gramStart"/>
      <w:r w:rsidRPr="002D20CE">
        <w:rPr>
          <w:rFonts w:ascii="Times New Roman" w:hAnsi="Times New Roman" w:cs="Times New Roman"/>
        </w:rPr>
        <w:t>is supplemented</w:t>
      </w:r>
      <w:proofErr w:type="gramEnd"/>
      <w:r w:rsidRPr="002D20CE">
        <w:rPr>
          <w:rFonts w:ascii="Times New Roman" w:hAnsi="Times New Roman" w:cs="Times New Roman"/>
        </w:rPr>
        <w:t xml:space="preserve"> with a reliability index (RI) ranging from 0 to 10. The rate of proliferation for each variant has been set to be proportional to the RI (proliferation = 0.1*RI). On the 18 variation of the training set, the prediction resulted in a 0.76 Pearson's correlation index (p= 0.00023).</w:t>
      </w:r>
    </w:p>
    <w:p w:rsidR="00045007" w:rsidRDefault="00045007" w:rsidP="001B5592">
      <w:pPr>
        <w:spacing w:line="480" w:lineRule="auto"/>
        <w:jc w:val="both"/>
        <w:rPr>
          <w:rFonts w:ascii="Times New Roman" w:hAnsi="Times New Roman" w:cs="Times New Roman"/>
        </w:rPr>
      </w:pPr>
    </w:p>
    <w:p w:rsidR="00045007" w:rsidRDefault="00045007" w:rsidP="00BB0520">
      <w:pPr>
        <w:widowControl/>
        <w:suppressAutoHyphens w:val="0"/>
        <w:spacing w:line="480" w:lineRule="auto"/>
        <w:jc w:val="both"/>
        <w:rPr>
          <w:rFonts w:ascii="Times New Roman" w:hAnsi="Times New Roman" w:cs="Times New Roman"/>
          <w:b/>
        </w:rPr>
      </w:pPr>
      <w:proofErr w:type="spellStart"/>
      <w:r>
        <w:rPr>
          <w:rFonts w:ascii="Times New Roman" w:hAnsi="Times New Roman" w:cs="Times New Roman"/>
          <w:b/>
        </w:rPr>
        <w:t>Dunbrack</w:t>
      </w:r>
      <w:proofErr w:type="spellEnd"/>
      <w:r w:rsidRPr="00BA33DB">
        <w:rPr>
          <w:rFonts w:ascii="Times New Roman" w:hAnsi="Times New Roman" w:cs="Times New Roman"/>
          <w:b/>
        </w:rPr>
        <w:t xml:space="preserve"> laboratory</w:t>
      </w:r>
      <w:r>
        <w:rPr>
          <w:rFonts w:ascii="Times New Roman" w:hAnsi="Times New Roman" w:cs="Times New Roman"/>
          <w:b/>
        </w:rPr>
        <w:t xml:space="preserve"> </w:t>
      </w:r>
      <w:r w:rsidRPr="0088798C">
        <w:rPr>
          <w:rFonts w:ascii="Times New Roman" w:hAnsi="Times New Roman" w:cs="Times New Roman"/>
          <w:b/>
        </w:rPr>
        <w:t>(submission 7)</w:t>
      </w:r>
    </w:p>
    <w:p w:rsidR="00045007" w:rsidRDefault="00045007" w:rsidP="001B5592">
      <w:pPr>
        <w:widowControl/>
        <w:suppressAutoHyphens w:val="0"/>
        <w:spacing w:after="200" w:line="480" w:lineRule="auto"/>
        <w:jc w:val="both"/>
        <w:rPr>
          <w:rFonts w:ascii="Times New Roman" w:hAnsi="Times New Roman" w:cs="Times New Roman"/>
        </w:rPr>
      </w:pPr>
      <w:r w:rsidRPr="002D20CE">
        <w:rPr>
          <w:rFonts w:ascii="Times New Roman" w:hAnsi="Times New Roman" w:cs="Times New Roman"/>
        </w:rPr>
        <w:t>For predicting the phenotypes of missense mutations, we have extensively explored the utility of information derived from biological assemblies that are present in protein crystal structures. For more than 50% of structures, the biological assembly is actually different from the asymmetric unit that crystallographers use to model the experimental crystallographic data. For structures with more than one protein in the biological assembly (whether the same sequence or different), we find the accessible surface area from biological assemblies provides a statistically significant improvement in prediction over the accessible surface area of monomers from protein crystal structures. We d</w:t>
      </w:r>
      <w:r w:rsidR="005B342D">
        <w:rPr>
          <w:rFonts w:ascii="Times New Roman" w:hAnsi="Times New Roman" w:cs="Times New Roman"/>
        </w:rPr>
        <w:t>eveloped support vector machine</w:t>
      </w:r>
      <w:r w:rsidRPr="002D20CE">
        <w:rPr>
          <w:rFonts w:ascii="Times New Roman" w:hAnsi="Times New Roman" w:cs="Times New Roman"/>
        </w:rPr>
        <w:t xml:space="preserve"> models, trained on sequence-based features such as the difference between wildtype and mutant position-specific profile scores, conservation scores, and disorder predictions, and structural features such as the solvent-accessible surface area of the wildtype residue in all available biological assemblies of the target protein. We applied these support vector machines to several CAGI targets using both homo- and </w:t>
      </w:r>
      <w:proofErr w:type="spellStart"/>
      <w:r w:rsidRPr="002D20CE">
        <w:rPr>
          <w:rFonts w:ascii="Times New Roman" w:hAnsi="Times New Roman" w:cs="Times New Roman"/>
        </w:rPr>
        <w:t>heterooligomeric</w:t>
      </w:r>
      <w:proofErr w:type="spellEnd"/>
      <w:r w:rsidRPr="002D20CE">
        <w:rPr>
          <w:rFonts w:ascii="Times New Roman" w:hAnsi="Times New Roman" w:cs="Times New Roman"/>
        </w:rPr>
        <w:t xml:space="preserve"> structures and our program BAM (</w:t>
      </w:r>
      <w:proofErr w:type="spellStart"/>
      <w:r w:rsidRPr="002D20CE">
        <w:rPr>
          <w:rFonts w:ascii="Times New Roman" w:hAnsi="Times New Roman" w:cs="Times New Roman"/>
        </w:rPr>
        <w:t>BioAssemblyModeler</w:t>
      </w:r>
      <w:proofErr w:type="spellEnd"/>
      <w:r w:rsidRPr="002D20CE">
        <w:rPr>
          <w:rFonts w:ascii="Times New Roman" w:hAnsi="Times New Roman" w:cs="Times New Roman"/>
        </w:rPr>
        <w:t xml:space="preserve">), which models the three-dimensional structures of proteins and protein complexes based on biological assemblies deposited in the PDB. In a small number of cases, the oligomeric structure changed a prediction from neutral to deleterious, because the surface area of the residue in the complex was different </w:t>
      </w:r>
      <w:r w:rsidR="005B342D">
        <w:rPr>
          <w:rFonts w:ascii="Times New Roman" w:hAnsi="Times New Roman" w:cs="Times New Roman"/>
        </w:rPr>
        <w:t>from</w:t>
      </w:r>
      <w:r w:rsidRPr="002D20CE">
        <w:rPr>
          <w:rFonts w:ascii="Times New Roman" w:hAnsi="Times New Roman" w:cs="Times New Roman"/>
        </w:rPr>
        <w:t xml:space="preserve"> the monomer of the same protein. In the case of p16, the experimental structure of the </w:t>
      </w:r>
      <w:r w:rsidRPr="002D20CE">
        <w:rPr>
          <w:rFonts w:ascii="Times New Roman" w:hAnsi="Times New Roman" w:cs="Times New Roman"/>
        </w:rPr>
        <w:lastRenderedPageBreak/>
        <w:t>protein in a hetero</w:t>
      </w:r>
      <w:r w:rsidR="005B342D">
        <w:rPr>
          <w:rFonts w:ascii="Times New Roman" w:hAnsi="Times New Roman" w:cs="Times New Roman"/>
        </w:rPr>
        <w:t>-</w:t>
      </w:r>
      <w:r w:rsidRPr="002D20CE">
        <w:rPr>
          <w:rFonts w:ascii="Times New Roman" w:hAnsi="Times New Roman" w:cs="Times New Roman"/>
        </w:rPr>
        <w:t>tetramer with CDK6 (PDB entry 1BI7) was used as a source of structural information.</w:t>
      </w:r>
    </w:p>
    <w:p w:rsidR="00BB0520" w:rsidRPr="002D20CE" w:rsidRDefault="00BB0520" w:rsidP="001B5592">
      <w:pPr>
        <w:widowControl/>
        <w:suppressAutoHyphens w:val="0"/>
        <w:spacing w:after="200" w:line="480" w:lineRule="auto"/>
        <w:jc w:val="both"/>
        <w:rPr>
          <w:rFonts w:ascii="Times New Roman" w:hAnsi="Times New Roman" w:cs="Times New Roman"/>
        </w:rPr>
      </w:pPr>
    </w:p>
    <w:p w:rsidR="00045007" w:rsidRPr="00BB0520" w:rsidRDefault="005B342D" w:rsidP="00BB0520">
      <w:pPr>
        <w:widowControl/>
        <w:suppressAutoHyphens w:val="0"/>
        <w:spacing w:line="480" w:lineRule="auto"/>
        <w:jc w:val="both"/>
        <w:rPr>
          <w:rFonts w:ascii="Times New Roman" w:hAnsi="Times New Roman" w:cs="Times New Roman"/>
          <w:b/>
        </w:rPr>
      </w:pPr>
      <w:r>
        <w:rPr>
          <w:rFonts w:ascii="Times New Roman" w:hAnsi="Times New Roman" w:cs="Times New Roman"/>
          <w:b/>
        </w:rPr>
        <w:t>Gough laboratory (submissions</w:t>
      </w:r>
      <w:r w:rsidR="00045007" w:rsidRPr="00BB0520">
        <w:rPr>
          <w:rFonts w:ascii="Times New Roman" w:hAnsi="Times New Roman" w:cs="Times New Roman"/>
          <w:b/>
        </w:rPr>
        <w:t xml:space="preserve"> 8,</w:t>
      </w:r>
      <w:r>
        <w:rPr>
          <w:rFonts w:ascii="Times New Roman" w:hAnsi="Times New Roman" w:cs="Times New Roman"/>
          <w:b/>
        </w:rPr>
        <w:t xml:space="preserve"> </w:t>
      </w:r>
      <w:r w:rsidR="00045007" w:rsidRPr="00BB0520">
        <w:rPr>
          <w:rFonts w:ascii="Times New Roman" w:hAnsi="Times New Roman" w:cs="Times New Roman"/>
          <w:b/>
        </w:rPr>
        <w:t>14,</w:t>
      </w:r>
      <w:r>
        <w:rPr>
          <w:rFonts w:ascii="Times New Roman" w:hAnsi="Times New Roman" w:cs="Times New Roman"/>
          <w:b/>
        </w:rPr>
        <w:t xml:space="preserve"> </w:t>
      </w:r>
      <w:r w:rsidR="00045007" w:rsidRPr="00BB0520">
        <w:rPr>
          <w:rFonts w:ascii="Times New Roman" w:hAnsi="Times New Roman" w:cs="Times New Roman"/>
          <w:b/>
        </w:rPr>
        <w:t>19)</w:t>
      </w:r>
    </w:p>
    <w:p w:rsidR="00E33390" w:rsidRPr="00BB0520" w:rsidRDefault="00E33390" w:rsidP="00E33390">
      <w:pPr>
        <w:widowControl/>
        <w:suppressAutoHyphens w:val="0"/>
        <w:spacing w:line="480" w:lineRule="auto"/>
        <w:jc w:val="both"/>
        <w:rPr>
          <w:rFonts w:ascii="Times New Roman" w:hAnsi="Times New Roman" w:cs="Times New Roman"/>
        </w:rPr>
      </w:pPr>
      <w:r w:rsidRPr="00BB0520">
        <w:rPr>
          <w:rFonts w:ascii="Times New Roman" w:hAnsi="Times New Roman" w:cs="Times New Roman"/>
        </w:rPr>
        <w:t>The Gough Group approach relies on Functional Annotation Through Hidden Markov Models (FATHMM</w:t>
      </w:r>
      <w:r w:rsidR="00C4442A" w:rsidRPr="00BB0520">
        <w:rPr>
          <w:rFonts w:ascii="Times New Roman" w:hAnsi="Times New Roman" w:cs="Times New Roman"/>
        </w:rPr>
        <w:t xml:space="preserve">) developed by Hashem </w:t>
      </w:r>
      <w:proofErr w:type="spellStart"/>
      <w:r w:rsidR="00C4442A" w:rsidRPr="00BB0520">
        <w:rPr>
          <w:rFonts w:ascii="Times New Roman" w:hAnsi="Times New Roman" w:cs="Times New Roman"/>
        </w:rPr>
        <w:t>Shihab</w:t>
      </w:r>
      <w:proofErr w:type="spellEnd"/>
      <w:r w:rsidR="00C4442A" w:rsidRPr="00BB0520">
        <w:rPr>
          <w:rFonts w:ascii="Times New Roman" w:hAnsi="Times New Roman" w:cs="Times New Roman"/>
        </w:rPr>
        <w:t xml:space="preserve"> </w:t>
      </w:r>
      <w:r w:rsidR="00C4442A" w:rsidRPr="00BB0520">
        <w:rPr>
          <w:rFonts w:ascii="Times New Roman" w:hAnsi="Times New Roman" w:cs="Times New Roman"/>
        </w:rPr>
        <w:fldChar w:fldCharType="begin"/>
      </w:r>
      <w:r w:rsidR="00BF6B9A" w:rsidRPr="00BB0520">
        <w:rPr>
          <w:rFonts w:ascii="Times New Roman" w:hAnsi="Times New Roman" w:cs="Times New Roman"/>
        </w:rPr>
        <w:instrText xml:space="preserve"> ADDIN ZOTERO_ITEM CSL_CITATION {"citationID":"8sc92675c","properties":{"formattedCitation":"(Shihab et al., 2013)","plainCitation":"(Shihab et al., 2013)"},"citationItems":[{"id":5230,"uris":["http://zotero.org/users/3155950/items/GXG7IHQQ"],"uri":["http://zotero.org/users/3155950/items/GXG7IHQQ"],"itemData":{"id":5230,"type":"article-journal","title":"Predicting the functional, molecular, and phenotypic consequences of amino acid substitutions using hidden Markov models","container-title":"Human Mutation","page":"57-65","volume":"34","issue":"1","source":"PubMed","abstract":"The rate at which nonsynonymous single nucleotide polymorphisms (nsSNPs) are being identified in the human genome is increasing dramatically owing to advances in whole-genome/whole-exome sequencing technologies. Automated methods capable of accurately and reliably distinguishing between pathogenic and functionally neutral nsSNPs are therefore assuming ever-increasing importance. Here, we describe the Functional Analysis Through Hidden Markov Models (FATHMM) software and server: a species-independent method with optional species-specific weightings for the prediction of the functional effects of protein missense variants. Using a model weighted for human mutations, we obtained performance accuracies that outperformed traditional prediction methods (i.e., SIFT, PolyPhen, and PANTHER) on two separate benchmarks. Furthermore, in one benchmark, we achieve performance accuracies that outperform current state-of-the-art prediction methods (i.e., SNPs&amp;GO and MutPred). We demonstrate that FATHMM can be efficiently applied to high-throughput/large-scale human and nonhuman genome sequencing projects with the added benefit of phenotypic outcome associations. To illustrate this, we evaluated nsSNPs in wheat (Triticum spp.) to identify some of the important genetic variants responsible for the phenotypic differences introduced by intense selection during domestication. A Web-based implementation of FATHMM, including a high-throughput batch facility and a downloadable standalone package, is available at http://fathmm.biocompute.org.uk.","DOI":"10.1002/humu.22225","ISSN":"1098-1004","note":"PMID: 23033316\nPMCID: PMC3558800","journalAbbreviation":"Hum. Mutat.","language":"eng","author":[{"family":"Shihab","given":"Hashem A."},{"family":"Gough","given":"Julian"},{"family":"Cooper","given":"David N."},{"family":"Stenson","given":"Peter D."},{"family":"Barker","given":"Gary L. A."},{"family":"Edwards","given":"Keith J."},{"family":"Day","given":"Ian N. M."},{"family":"Gaunt","given":"Tom R."}],"issued":{"date-parts":[["2013",1]]},"PMID":"23033316","PMCID":"PMC3558800"}}],"schema":"https://github.com/citation-style-language/schema/raw/master/csl-citation.json"} </w:instrText>
      </w:r>
      <w:r w:rsidR="00C4442A" w:rsidRPr="00BB0520">
        <w:rPr>
          <w:rFonts w:ascii="Times New Roman" w:hAnsi="Times New Roman" w:cs="Times New Roman"/>
        </w:rPr>
        <w:fldChar w:fldCharType="separate"/>
      </w:r>
      <w:r w:rsidR="00C4442A" w:rsidRPr="00BB0520">
        <w:rPr>
          <w:rFonts w:ascii="Times New Roman" w:hAnsi="Times New Roman" w:cs="Times New Roman"/>
        </w:rPr>
        <w:t>(Shihab et al., 2013)</w:t>
      </w:r>
      <w:r w:rsidR="00C4442A" w:rsidRPr="00BB0520">
        <w:rPr>
          <w:rFonts w:ascii="Times New Roman" w:hAnsi="Times New Roman" w:cs="Times New Roman"/>
        </w:rPr>
        <w:fldChar w:fldCharType="end"/>
      </w:r>
      <w:r w:rsidRPr="00BB0520">
        <w:rPr>
          <w:rFonts w:ascii="Times New Roman" w:hAnsi="Times New Roman" w:cs="Times New Roman"/>
        </w:rPr>
        <w:t>.</w:t>
      </w:r>
    </w:p>
    <w:p w:rsidR="00E33390" w:rsidRPr="00BB0520" w:rsidRDefault="00E33390" w:rsidP="00E33390">
      <w:pPr>
        <w:widowControl/>
        <w:suppressAutoHyphens w:val="0"/>
        <w:spacing w:line="480" w:lineRule="auto"/>
        <w:jc w:val="both"/>
        <w:rPr>
          <w:rFonts w:ascii="Times New Roman" w:hAnsi="Times New Roman" w:cs="Times New Roman"/>
        </w:rPr>
      </w:pPr>
      <w:r w:rsidRPr="00BB0520">
        <w:rPr>
          <w:rFonts w:ascii="Times New Roman" w:hAnsi="Times New Roman" w:cs="Times New Roman"/>
        </w:rPr>
        <w:t xml:space="preserve">The </w:t>
      </w:r>
      <w:proofErr w:type="spellStart"/>
      <w:r w:rsidRPr="00BB0520">
        <w:rPr>
          <w:rFonts w:ascii="Times New Roman" w:hAnsi="Times New Roman" w:cs="Times New Roman"/>
        </w:rPr>
        <w:t>JackHMMER</w:t>
      </w:r>
      <w:proofErr w:type="spellEnd"/>
      <w:r w:rsidRPr="00BB0520">
        <w:rPr>
          <w:rFonts w:ascii="Times New Roman" w:hAnsi="Times New Roman" w:cs="Times New Roman"/>
        </w:rPr>
        <w:t xml:space="preserve"> program from the HMMER3 package was ran to search for p16 homologous sequence</w:t>
      </w:r>
      <w:r w:rsidR="00C4442A" w:rsidRPr="00BB0520">
        <w:rPr>
          <w:rFonts w:ascii="Times New Roman" w:hAnsi="Times New Roman" w:cs="Times New Roman"/>
        </w:rPr>
        <w:t xml:space="preserve">s within the </w:t>
      </w:r>
      <w:proofErr w:type="spellStart"/>
      <w:r w:rsidR="00C4442A" w:rsidRPr="00BB0520">
        <w:rPr>
          <w:rFonts w:ascii="Times New Roman" w:hAnsi="Times New Roman" w:cs="Times New Roman"/>
        </w:rPr>
        <w:t>UniRef</w:t>
      </w:r>
      <w:proofErr w:type="spellEnd"/>
      <w:r w:rsidR="00C4442A" w:rsidRPr="00BB0520">
        <w:rPr>
          <w:rFonts w:ascii="Times New Roman" w:hAnsi="Times New Roman" w:cs="Times New Roman"/>
        </w:rPr>
        <w:t xml:space="preserve"> database </w:t>
      </w:r>
      <w:r w:rsidR="00C4442A" w:rsidRPr="00BB0520">
        <w:rPr>
          <w:rFonts w:ascii="Times New Roman" w:hAnsi="Times New Roman" w:cs="Times New Roman"/>
        </w:rPr>
        <w:fldChar w:fldCharType="begin"/>
      </w:r>
      <w:r w:rsidR="00BF6B9A" w:rsidRPr="00BB0520">
        <w:rPr>
          <w:rFonts w:ascii="Times New Roman" w:hAnsi="Times New Roman" w:cs="Times New Roman"/>
        </w:rPr>
        <w:instrText xml:space="preserve"> ADDIN ZOTERO_ITEM CSL_CITATION {"citationID":"2mhg4c7pf7","properties":{"formattedCitation":"(Suzek et al., 2007)","plainCitation":"(Suzek et al., 2007)"},"citationItems":[{"id":5215,"uris":["http://zotero.org/users/3155950/items/5SPST332"],"uri":["http://zotero.org/users/3155950/items/5SPST332"],"itemData":{"id":5215,"type":"article-journal","title":"UniRef: comprehensive and non-redundant UniProt reference clusters","container-title":"Bioinformatics (Oxford, England)","page":"1282-1288","volume":"23","issue":"10","source":"PubMed","abstract":"MOTIVATION: Redundant protein sequences in biological databases hinder sequence similarity searches and make interpretation of search results difficult. Clustering of protein sequence space based on sequence similarity helps organize all sequences into manageable datasets and reduces sampling bias and overrepresentation of sequences.\nRESULTS: The UniRef (UniProt Reference Clusters) provide clustered sets of sequences from the UniProt Knowledgebase (UniProtKB) and selected UniProt Archive records to obtain complete coverage of sequence space at several resolutions while hiding redundant sequences. Currently covering &gt;4 million source sequences, the UniRef100 database combines identical sequences and subfragments from any source organism into a single UniRef entry. UniRef90 and UniRef50 are built by clustering UniRef100 sequences at the 90 or 50% sequence identity levels. UniRef100, UniRef90 and UniRef50 yield a database size reduction of approximately 10, 40 and 70%, respectively, from the source sequence set. The reduced redundancy increases the speed of similarity searches and improves detection of distant relationships. UniRef entries contain summary cluster and membership information, including the sequence of a representative protein, member count and common taxonomy of the cluster, the accession numbers of all the merged entries and links to rich functional annotation in UniProtKB to facilitate biological discovery. UniRef has already been applied to broad research areas ranging from genome annotation to proteomics data analysis.\nAVAILABILITY: UniRef is updated biweekly and is available for online search and retrieval at http://www.uniprot.org, as well as for download at ftp://ftp.uniprot.org/pub/databases/uniprot/uniref.\nSUPPLEMENTARY INFORMATION: Supplementary data are available at Bioinformatics online.","DOI":"10.1093/bioinformatics/btm098","ISSN":"1367-4811","note":"PMID: 17379688","shortTitle":"UniRef","journalAbbreviation":"Bioinformatics","language":"eng","author":[{"family":"Suzek","given":"Baris E."},{"family":"Huang","given":"Hongzhan"},{"family":"McGarvey","given":"Peter"},{"family":"Mazumder","given":"Raja"},{"family":"Wu","given":"Cathy H."}],"issued":{"date-parts":[["2007",5,15]]},"PMID":"17379688"}}],"schema":"https://github.com/citation-style-language/schema/raw/master/csl-citation.json"} </w:instrText>
      </w:r>
      <w:r w:rsidR="00C4442A" w:rsidRPr="00BB0520">
        <w:rPr>
          <w:rFonts w:ascii="Times New Roman" w:hAnsi="Times New Roman" w:cs="Times New Roman"/>
        </w:rPr>
        <w:fldChar w:fldCharType="separate"/>
      </w:r>
      <w:r w:rsidR="00C4442A" w:rsidRPr="00BB0520">
        <w:rPr>
          <w:rFonts w:ascii="Times New Roman" w:hAnsi="Times New Roman" w:cs="Times New Roman"/>
        </w:rPr>
        <w:t>(Suzek et al., 2007)</w:t>
      </w:r>
      <w:r w:rsidR="00C4442A" w:rsidRPr="00BB0520">
        <w:rPr>
          <w:rFonts w:ascii="Times New Roman" w:hAnsi="Times New Roman" w:cs="Times New Roman"/>
        </w:rPr>
        <w:fldChar w:fldCharType="end"/>
      </w:r>
      <w:r w:rsidRPr="00BB0520">
        <w:rPr>
          <w:rFonts w:ascii="Times New Roman" w:hAnsi="Times New Roman" w:cs="Times New Roman"/>
        </w:rPr>
        <w:t xml:space="preserve"> and generate a profile HMM from the</w:t>
      </w:r>
      <w:r w:rsidR="00C4442A" w:rsidRPr="00BB0520">
        <w:rPr>
          <w:rFonts w:ascii="Times New Roman" w:hAnsi="Times New Roman" w:cs="Times New Roman"/>
        </w:rPr>
        <w:t xml:space="preserve"> multiple sequence alignment </w:t>
      </w:r>
      <w:r w:rsidR="00C4442A" w:rsidRPr="00BB0520">
        <w:rPr>
          <w:rFonts w:ascii="Times New Roman" w:hAnsi="Times New Roman" w:cs="Times New Roman"/>
        </w:rPr>
        <w:fldChar w:fldCharType="begin"/>
      </w:r>
      <w:r w:rsidR="00BF6B9A" w:rsidRPr="00BB0520">
        <w:rPr>
          <w:rFonts w:ascii="Times New Roman" w:hAnsi="Times New Roman" w:cs="Times New Roman"/>
        </w:rPr>
        <w:instrText xml:space="preserve"> ADDIN ZOTERO_ITEM CSL_CITATION {"citationID":"ctg4isktn","properties":{"formattedCitation":"(Eddy, 1998)","plainCitation":"(Eddy, 1998)"},"citationItems":[{"id":5217,"uris":["http://zotero.org/users/3155950/items/6CN677D7"],"uri":["http://zotero.org/users/3155950/items/6CN677D7"],"itemData":{"id":5217,"type":"article-journal","title":"Profile hidden Markov models.","container-title":"Bioinformatics","page":"755-763","volume":"14","issue":"9","source":"bioinformatics.oxfordjournals.org","abstract":"The recent literature on profile hidden Markov model (profile HMM) methods and software is reviewed. Profile HMMs turn a multiple sequence alignment into a position-specific scoring system suitable for searching databases for remotely homologous sequences. Profile HMM analyses complement standard pairwise comparison methods for large-scale sequence analysis. Several software implementations and two large libraries of profile HMMs of common protein domains are available. HMM methods performed comparably to threading methods in the CASP2 structure prediction exercise.","DOI":"10.1093/bioinformatics/14.9.755","ISSN":"1367-4803, 1460-2059","note":"PMID: 9918945","journalAbbreviation":"Bioinformatics","language":"en","author":[{"family":"Eddy","given":"S. R."}],"issued":{"date-parts":[["1998",1,1]]},"PMID":"9918945"}}],"schema":"https://github.com/citation-style-language/schema/raw/master/csl-citation.json"} </w:instrText>
      </w:r>
      <w:r w:rsidR="00C4442A" w:rsidRPr="00BB0520">
        <w:rPr>
          <w:rFonts w:ascii="Times New Roman" w:hAnsi="Times New Roman" w:cs="Times New Roman"/>
        </w:rPr>
        <w:fldChar w:fldCharType="separate"/>
      </w:r>
      <w:r w:rsidR="00C4442A" w:rsidRPr="00BB0520">
        <w:rPr>
          <w:rFonts w:ascii="Times New Roman" w:hAnsi="Times New Roman" w:cs="Times New Roman"/>
        </w:rPr>
        <w:t>(Eddy, 1998)</w:t>
      </w:r>
      <w:r w:rsidR="00C4442A" w:rsidRPr="00BB0520">
        <w:rPr>
          <w:rFonts w:ascii="Times New Roman" w:hAnsi="Times New Roman" w:cs="Times New Roman"/>
        </w:rPr>
        <w:fldChar w:fldCharType="end"/>
      </w:r>
      <w:r w:rsidRPr="00BB0520">
        <w:rPr>
          <w:rFonts w:ascii="Times New Roman" w:hAnsi="Times New Roman" w:cs="Times New Roman"/>
        </w:rPr>
        <w:t>. The probabilities of the wild-type and mutant amino-acids were extracted</w:t>
      </w:r>
      <w:r w:rsidR="00C4442A" w:rsidRPr="00BB0520">
        <w:rPr>
          <w:rFonts w:ascii="Times New Roman" w:hAnsi="Times New Roman" w:cs="Times New Roman"/>
        </w:rPr>
        <w:t xml:space="preserve"> from the </w:t>
      </w:r>
      <w:proofErr w:type="spellStart"/>
      <w:r w:rsidR="00C4442A" w:rsidRPr="00BB0520">
        <w:rPr>
          <w:rFonts w:ascii="Times New Roman" w:hAnsi="Times New Roman" w:cs="Times New Roman"/>
        </w:rPr>
        <w:t>Dirichlet</w:t>
      </w:r>
      <w:proofErr w:type="spellEnd"/>
      <w:r w:rsidR="00C4442A" w:rsidRPr="00BB0520">
        <w:rPr>
          <w:rFonts w:ascii="Times New Roman" w:hAnsi="Times New Roman" w:cs="Times New Roman"/>
        </w:rPr>
        <w:t xml:space="preserve"> mixtures </w:t>
      </w:r>
      <w:r w:rsidR="00BF6B9A" w:rsidRPr="00BB0520">
        <w:rPr>
          <w:rFonts w:ascii="Times New Roman" w:hAnsi="Times New Roman" w:cs="Times New Roman"/>
        </w:rPr>
        <w:fldChar w:fldCharType="begin"/>
      </w:r>
      <w:r w:rsidR="00BF6B9A" w:rsidRPr="00BB0520">
        <w:rPr>
          <w:rFonts w:ascii="Times New Roman" w:hAnsi="Times New Roman" w:cs="Times New Roman"/>
        </w:rPr>
        <w:instrText xml:space="preserve"> ADDIN ZOTERO_ITEM CSL_CITATION {"citationID":"28hjg9m0sf","properties":{"formattedCitation":"{\\rtf (Sj\\uc0\\u246{}lander et al., 1996)}","plainCitation":"(Sjölander et al., 1996)"},"citationItems":[{"id":5296,"uris":["http://zotero.org/users/3155950/items/BP8TD5X6"],"uri":["http://zotero.org/users/3155950/items/BP8TD5X6"],"itemData":{"id":5296,"type":"article-journal","title":"Dirichlet mixtures: a method for improved detection of weak but significant protein sequence homology","container-title":"Computer applications in the biosciences : CABIOS","page":"327-345","volume":"12","issue":"4","source":"bioinformatics.oxfordjournals.org","abstract":"We present a method for condensing the information in multiple alignments of proteins into a mixture of Dirichlet densities over amino acid distributions. Dirichiet mixture densities are designed to be combined with observed amino acid frequencies to form estimates of expected amino acid probabilities at each position in a profile, hidden Markov model or other statistical model. These estimates give a statistical model greater generalization capacity, so that remotely related family members can be more reliably recognized by the model. This paper corrects the previously published formula for estimating these expected probabilities, and contains complete derivations of the Dirichiet mixture formulas, methods for optimizing the mixtures to match particular databases, and suggestions for efficient implementation.","DOI":"10.1093/bioinformatics/12.4.327","ISSN":"1367-4803, 1460-2059","note":"PMID: 8902360","shortTitle":"Dirichlet mixtures","journalAbbreviation":"Comput Appl Biosci","language":"en","author":[{"family":"Sjölander","given":"Kimmen"},{"family":"Karplus","given":"Kevin"},{"family":"Brown","given":"Michael"},{"family":"Hughey","given":"Richard"},{"family":"Krogh","given":"Anders"},{"family":"Mian","given":"I. Saira"},{"family":"Haussler","given":"David"}],"issued":{"date-parts":[["1996",8,1]]},"PMID":"8902360"}}],"schema":"https://github.com/citation-style-language/schema/raw/master/csl-citation.json"} </w:instrText>
      </w:r>
      <w:r w:rsidR="00BF6B9A" w:rsidRPr="00BB0520">
        <w:rPr>
          <w:rFonts w:ascii="Times New Roman" w:hAnsi="Times New Roman" w:cs="Times New Roman"/>
        </w:rPr>
        <w:fldChar w:fldCharType="separate"/>
      </w:r>
      <w:r w:rsidR="00BF6B9A" w:rsidRPr="00BB0520">
        <w:rPr>
          <w:rFonts w:ascii="Times New Roman" w:hAnsi="Times New Roman" w:cs="Times New Roman"/>
        </w:rPr>
        <w:t>(Sjölander et al., 1996)</w:t>
      </w:r>
      <w:r w:rsidR="00BF6B9A" w:rsidRPr="00BB0520">
        <w:rPr>
          <w:rFonts w:ascii="Times New Roman" w:hAnsi="Times New Roman" w:cs="Times New Roman"/>
        </w:rPr>
        <w:fldChar w:fldCharType="end"/>
      </w:r>
      <w:r w:rsidRPr="00BB0520">
        <w:rPr>
          <w:rFonts w:ascii="Times New Roman" w:hAnsi="Times New Roman" w:cs="Times New Roman"/>
        </w:rPr>
        <w:t xml:space="preserve"> describing the profile HMMs and used to determine the score for each missense variant: </w:t>
      </w:r>
    </w:p>
    <w:p w:rsidR="00BF6B9A" w:rsidRPr="00BB0520" w:rsidRDefault="00BF6B9A" w:rsidP="00E33390">
      <w:pPr>
        <w:widowControl/>
        <w:suppressAutoHyphens w:val="0"/>
        <w:spacing w:line="480" w:lineRule="auto"/>
        <w:jc w:val="both"/>
        <w:rPr>
          <w:rFonts w:ascii="Times New Roman" w:hAnsi="Times New Roman" w:cs="Times New Roman"/>
        </w:rPr>
      </w:pPr>
      <m:oMathPara>
        <m:oMath>
          <m:r>
            <w:rPr>
              <w:rFonts w:ascii="Cambria Math" w:eastAsia="Times New Roman" w:hAnsi="Cambria Math" w:cs="Arial"/>
              <w:sz w:val="22"/>
              <w:szCs w:val="22"/>
              <w:shd w:val="clear" w:color="auto" w:fill="FFFFFF"/>
            </w:rPr>
            <m:t xml:space="preserve">score= </m:t>
          </m:r>
          <m:r>
            <m:rPr>
              <m:sty m:val="p"/>
            </m:rPr>
            <w:rPr>
              <w:rFonts w:ascii="Cambria Math" w:eastAsia="Times New Roman" w:hAnsi="Cambria Math" w:cs="Arial"/>
              <w:sz w:val="22"/>
              <w:szCs w:val="22"/>
              <w:shd w:val="clear" w:color="auto" w:fill="FFFFFF"/>
            </w:rPr>
            <m:t>ln⁡</m:t>
          </m:r>
          <m:f>
            <m:fPr>
              <m:ctrlPr>
                <w:rPr>
                  <w:rFonts w:ascii="Cambria Math" w:eastAsia="Times New Roman" w:hAnsi="Cambria Math" w:cs="Arial"/>
                  <w:i/>
                  <w:sz w:val="22"/>
                  <w:szCs w:val="22"/>
                  <w:shd w:val="clear" w:color="auto" w:fill="FFFFFF"/>
                </w:rPr>
              </m:ctrlPr>
            </m:fPr>
            <m:num>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P</m:t>
                  </m:r>
                </m:e>
                <m:sub>
                  <m:r>
                    <w:rPr>
                      <w:rFonts w:ascii="Cambria Math" w:eastAsia="Times New Roman" w:hAnsi="Cambria Math" w:cs="Arial"/>
                      <w:sz w:val="22"/>
                      <w:szCs w:val="22"/>
                      <w:shd w:val="clear" w:color="auto" w:fill="FFFFFF"/>
                    </w:rPr>
                    <m:t>m</m:t>
                  </m:r>
                </m:sub>
              </m:sSub>
              <m:r>
                <w:rPr>
                  <w:rFonts w:ascii="Cambria Math" w:eastAsia="Times New Roman" w:hAnsi="Cambria Math" w:cs="Arial"/>
                  <w:sz w:val="22"/>
                  <w:szCs w:val="22"/>
                  <w:shd w:val="clear" w:color="auto" w:fill="FFFFFF"/>
                </w:rPr>
                <m:t>/(1-</m:t>
              </m:r>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P</m:t>
                  </m:r>
                </m:e>
                <m:sub>
                  <m:r>
                    <w:rPr>
                      <w:rFonts w:ascii="Cambria Math" w:eastAsia="Times New Roman" w:hAnsi="Cambria Math" w:cs="Arial"/>
                      <w:sz w:val="22"/>
                      <w:szCs w:val="22"/>
                      <w:shd w:val="clear" w:color="auto" w:fill="FFFFFF"/>
                    </w:rPr>
                    <m:t>m</m:t>
                  </m:r>
                </m:sub>
              </m:sSub>
              <m:r>
                <w:rPr>
                  <w:rFonts w:ascii="Cambria Math" w:eastAsia="Times New Roman" w:hAnsi="Cambria Math" w:cs="Arial"/>
                  <w:sz w:val="22"/>
                  <w:szCs w:val="22"/>
                  <w:shd w:val="clear" w:color="auto" w:fill="FFFFFF"/>
                </w:rPr>
                <m:t>)</m:t>
              </m:r>
            </m:num>
            <m:den>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P</m:t>
                  </m:r>
                </m:e>
                <m:sub>
                  <m:r>
                    <w:rPr>
                      <w:rFonts w:ascii="Cambria Math" w:eastAsia="Times New Roman" w:hAnsi="Cambria Math" w:cs="Arial"/>
                      <w:sz w:val="22"/>
                      <w:szCs w:val="22"/>
                      <w:shd w:val="clear" w:color="auto" w:fill="FFFFFF"/>
                    </w:rPr>
                    <m:t>w</m:t>
                  </m:r>
                </m:sub>
              </m:sSub>
              <m:r>
                <w:rPr>
                  <w:rFonts w:ascii="Cambria Math" w:eastAsia="Times New Roman" w:hAnsi="Cambria Math" w:cs="Arial"/>
                  <w:sz w:val="22"/>
                  <w:szCs w:val="22"/>
                  <w:shd w:val="clear" w:color="auto" w:fill="FFFFFF"/>
                </w:rPr>
                <m:t>/(1-</m:t>
              </m:r>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P</m:t>
                  </m:r>
                </m:e>
                <m:sub>
                  <m:r>
                    <w:rPr>
                      <w:rFonts w:ascii="Cambria Math" w:eastAsia="Times New Roman" w:hAnsi="Cambria Math" w:cs="Arial"/>
                      <w:sz w:val="22"/>
                      <w:szCs w:val="22"/>
                      <w:shd w:val="clear" w:color="auto" w:fill="FFFFFF"/>
                    </w:rPr>
                    <m:t>w</m:t>
                  </m:r>
                </m:sub>
              </m:sSub>
              <m:r>
                <w:rPr>
                  <w:rFonts w:ascii="Cambria Math" w:eastAsia="Times New Roman" w:hAnsi="Cambria Math" w:cs="Arial"/>
                  <w:sz w:val="22"/>
                  <w:szCs w:val="22"/>
                  <w:shd w:val="clear" w:color="auto" w:fill="FFFFFF"/>
                </w:rPr>
                <m:t>)</m:t>
              </m:r>
            </m:den>
          </m:f>
        </m:oMath>
      </m:oMathPara>
    </w:p>
    <w:p w:rsidR="00E33390" w:rsidRPr="00BB0520" w:rsidRDefault="00E33390" w:rsidP="00E33390">
      <w:pPr>
        <w:widowControl/>
        <w:suppressAutoHyphens w:val="0"/>
        <w:spacing w:line="480" w:lineRule="auto"/>
        <w:jc w:val="both"/>
        <w:rPr>
          <w:rFonts w:ascii="Times New Roman" w:hAnsi="Times New Roman" w:cs="Times New Roman"/>
        </w:rPr>
      </w:pPr>
      <w:proofErr w:type="gramStart"/>
      <w:r w:rsidRPr="00BB0520">
        <w:rPr>
          <w:rFonts w:ascii="Times New Roman" w:hAnsi="Times New Roman" w:cs="Times New Roman"/>
        </w:rPr>
        <w:t>where</w:t>
      </w:r>
      <w:proofErr w:type="gramEnd"/>
      <w:r w:rsidRPr="00BB0520">
        <w:rPr>
          <w:rFonts w:ascii="Times New Roman" w:hAnsi="Times New Roman" w:cs="Times New Roman"/>
        </w:rPr>
        <w:t xml:space="preserve"> </w:t>
      </w:r>
      <w:r w:rsidRPr="00BB0520">
        <w:rPr>
          <w:rFonts w:ascii="Times New Roman" w:hAnsi="Times New Roman" w:cs="Times New Roman"/>
          <w:i/>
        </w:rPr>
        <w:t>P</w:t>
      </w:r>
      <w:r w:rsidRPr="00BB0520">
        <w:rPr>
          <w:rFonts w:ascii="Times New Roman" w:hAnsi="Times New Roman" w:cs="Times New Roman"/>
          <w:i/>
          <w:vertAlign w:val="subscript"/>
        </w:rPr>
        <w:t>w</w:t>
      </w:r>
      <w:r w:rsidRPr="00BB0520">
        <w:rPr>
          <w:rFonts w:ascii="Times New Roman" w:hAnsi="Times New Roman" w:cs="Times New Roman"/>
        </w:rPr>
        <w:t xml:space="preserve"> and </w:t>
      </w:r>
      <w:r w:rsidRPr="00BB0520">
        <w:rPr>
          <w:rFonts w:ascii="Times New Roman" w:hAnsi="Times New Roman" w:cs="Times New Roman"/>
          <w:i/>
        </w:rPr>
        <w:t>P</w:t>
      </w:r>
      <w:r w:rsidRPr="00BB0520">
        <w:rPr>
          <w:rFonts w:ascii="Times New Roman" w:hAnsi="Times New Roman" w:cs="Times New Roman"/>
          <w:i/>
          <w:vertAlign w:val="subscript"/>
        </w:rPr>
        <w:t>m</w:t>
      </w:r>
      <w:r w:rsidRPr="00BB0520">
        <w:rPr>
          <w:rFonts w:ascii="Times New Roman" w:hAnsi="Times New Roman" w:cs="Times New Roman"/>
          <w:vertAlign w:val="subscript"/>
        </w:rPr>
        <w:t xml:space="preserve"> </w:t>
      </w:r>
      <w:r w:rsidRPr="00BB0520">
        <w:rPr>
          <w:rFonts w:ascii="Times New Roman" w:hAnsi="Times New Roman" w:cs="Times New Roman"/>
        </w:rPr>
        <w:t xml:space="preserve">are the respective wild-type and mutant probabilities in the match state. </w:t>
      </w:r>
    </w:p>
    <w:p w:rsidR="00E33390" w:rsidRPr="00BB0520" w:rsidRDefault="00E33390" w:rsidP="00E33390">
      <w:pPr>
        <w:widowControl/>
        <w:suppressAutoHyphens w:val="0"/>
        <w:spacing w:line="480" w:lineRule="auto"/>
        <w:jc w:val="both"/>
        <w:rPr>
          <w:rFonts w:ascii="Times New Roman" w:hAnsi="Times New Roman" w:cs="Times New Roman"/>
        </w:rPr>
      </w:pPr>
      <w:r w:rsidRPr="00BB0520">
        <w:rPr>
          <w:rFonts w:ascii="Times New Roman" w:hAnsi="Times New Roman" w:cs="Times New Roman"/>
        </w:rPr>
        <w:t xml:space="preserve">Negative scores indicate a deleterious effect, while positive scores indicate a </w:t>
      </w:r>
      <w:proofErr w:type="spellStart"/>
      <w:r w:rsidRPr="00BB0520">
        <w:rPr>
          <w:rFonts w:ascii="Times New Roman" w:hAnsi="Times New Roman" w:cs="Times New Roman"/>
        </w:rPr>
        <w:t>favourable</w:t>
      </w:r>
      <w:proofErr w:type="spellEnd"/>
      <w:r w:rsidRPr="00BB0520">
        <w:rPr>
          <w:rFonts w:ascii="Times New Roman" w:hAnsi="Times New Roman" w:cs="Times New Roman"/>
        </w:rPr>
        <w:t xml:space="preserve"> substitution. In order to match the submission format, scores were mapped such that a FATHMM score of zero corresponds to a negative control baseline (50% proliferation rate), while the remaining scores </w:t>
      </w:r>
      <w:proofErr w:type="gramStart"/>
      <w:r w:rsidRPr="00BB0520">
        <w:rPr>
          <w:rFonts w:ascii="Times New Roman" w:hAnsi="Times New Roman" w:cs="Times New Roman"/>
        </w:rPr>
        <w:t>were mapped</w:t>
      </w:r>
      <w:proofErr w:type="gramEnd"/>
      <w:r w:rsidRPr="00BB0520">
        <w:rPr>
          <w:rFonts w:ascii="Times New Roman" w:hAnsi="Times New Roman" w:cs="Times New Roman"/>
        </w:rPr>
        <w:t xml:space="preserve"> to the 0-100% range by adding or subtracting the proportionate percentage with regard to the maximum absolute FATHMM score obtained.</w:t>
      </w:r>
    </w:p>
    <w:p w:rsidR="00E33390" w:rsidRDefault="00E33390" w:rsidP="001B5592">
      <w:pPr>
        <w:widowControl/>
        <w:suppressAutoHyphens w:val="0"/>
        <w:spacing w:after="200" w:line="480" w:lineRule="auto"/>
        <w:jc w:val="both"/>
        <w:rPr>
          <w:rFonts w:ascii="Times New Roman" w:hAnsi="Times New Roman" w:cs="Times New Roman"/>
          <w:b/>
        </w:rPr>
      </w:pPr>
    </w:p>
    <w:p w:rsidR="00045007" w:rsidRPr="00D42729" w:rsidRDefault="00045007" w:rsidP="00BB0520">
      <w:pPr>
        <w:widowControl/>
        <w:suppressAutoHyphens w:val="0"/>
        <w:spacing w:line="480" w:lineRule="auto"/>
        <w:jc w:val="both"/>
        <w:rPr>
          <w:rFonts w:ascii="Times New Roman" w:hAnsi="Times New Roman" w:cs="Times New Roman"/>
          <w:b/>
        </w:rPr>
      </w:pPr>
      <w:proofErr w:type="spellStart"/>
      <w:r>
        <w:rPr>
          <w:rFonts w:ascii="Times New Roman" w:hAnsi="Times New Roman" w:cs="Times New Roman"/>
          <w:b/>
        </w:rPr>
        <w:t>Lichtarge</w:t>
      </w:r>
      <w:proofErr w:type="spellEnd"/>
      <w:r w:rsidRPr="00BA33DB">
        <w:rPr>
          <w:rFonts w:ascii="Times New Roman" w:hAnsi="Times New Roman" w:cs="Times New Roman"/>
          <w:b/>
        </w:rPr>
        <w:t xml:space="preserve"> laboratory</w:t>
      </w:r>
      <w:r>
        <w:rPr>
          <w:rFonts w:ascii="Times New Roman" w:hAnsi="Times New Roman" w:cs="Times New Roman"/>
          <w:b/>
        </w:rPr>
        <w:t xml:space="preserve"> </w:t>
      </w:r>
      <w:r w:rsidRPr="00D42729">
        <w:rPr>
          <w:rFonts w:ascii="Times New Roman" w:hAnsi="Times New Roman" w:cs="Times New Roman"/>
          <w:b/>
        </w:rPr>
        <w:t>(</w:t>
      </w:r>
      <w:proofErr w:type="gramStart"/>
      <w:r w:rsidRPr="00D42729">
        <w:rPr>
          <w:rFonts w:ascii="Times New Roman" w:hAnsi="Times New Roman" w:cs="Times New Roman"/>
          <w:b/>
        </w:rPr>
        <w:t xml:space="preserve">submissions  </w:t>
      </w:r>
      <w:r>
        <w:rPr>
          <w:rFonts w:ascii="Times New Roman" w:hAnsi="Times New Roman" w:cs="Times New Roman"/>
          <w:b/>
        </w:rPr>
        <w:t>4</w:t>
      </w:r>
      <w:proofErr w:type="gramEnd"/>
      <w:r w:rsidRPr="00D42729">
        <w:rPr>
          <w:rFonts w:ascii="Times New Roman" w:hAnsi="Times New Roman" w:cs="Times New Roman"/>
          <w:b/>
        </w:rPr>
        <w:t>)</w:t>
      </w:r>
    </w:p>
    <w:p w:rsidR="00045007" w:rsidRDefault="00045007" w:rsidP="001B5592">
      <w:pPr>
        <w:spacing w:line="480" w:lineRule="auto"/>
        <w:jc w:val="both"/>
      </w:pPr>
      <w:r w:rsidRPr="002D20CE">
        <w:t>The Evolutionary Action (EA) measures the fitness effect of coding mutations, analytically. It models evolution as a mapping of genotypes (</w:t>
      </w:r>
      <m:oMath>
        <m:r>
          <w:rPr>
            <w:rFonts w:ascii="Cambria Math" w:hAnsi="Cambria Math"/>
          </w:rPr>
          <m:t>γ</m:t>
        </m:r>
      </m:oMath>
      <w:r w:rsidRPr="002D20CE">
        <w:t>) to phenotypes (</w:t>
      </w:r>
      <m:oMath>
        <m:r>
          <w:rPr>
            <w:rFonts w:ascii="Cambria Math" w:hAnsi="Cambria Math"/>
          </w:rPr>
          <m:t>φ</m:t>
        </m:r>
      </m:oMath>
      <w:r w:rsidRPr="002D20CE">
        <w:rPr>
          <w:rFonts w:cs="Times New Roman"/>
        </w:rPr>
        <w:t xml:space="preserve">) </w:t>
      </w:r>
      <w:r w:rsidRPr="002D20CE">
        <w:t>in the fitness landscape via an evolutionary function (</w:t>
      </w:r>
      <m:oMath>
        <m:r>
          <w:rPr>
            <w:rFonts w:ascii="Cambria Math" w:hAnsi="Cambria Math"/>
          </w:rPr>
          <m:t>f</m:t>
        </m:r>
      </m:oMath>
      <w:r w:rsidRPr="002D20CE">
        <w:t xml:space="preserve">). Assuming genotypes are evolvable, </w:t>
      </w:r>
      <m:oMath>
        <m:r>
          <w:rPr>
            <w:rFonts w:ascii="Cambria Math" w:hAnsi="Cambria Math"/>
          </w:rPr>
          <m:t>f</m:t>
        </m:r>
      </m:oMath>
      <w:r w:rsidRPr="002D20CE">
        <w:t xml:space="preserve"> should be differentiable, such that we can follow </w:t>
      </w:r>
      <w:r w:rsidRPr="002D20CE">
        <w:lastRenderedPageBreak/>
        <w:t>calculus to solve for the phenotype change due to a mutation</w:t>
      </w:r>
      <w:proofErr w:type="gramStart"/>
      <w:r w:rsidRPr="002D20CE">
        <w:t xml:space="preserve">: </w:t>
      </w:r>
      <w:proofErr w:type="gramEnd"/>
      <m:oMath>
        <m:r>
          <w:rPr>
            <w:rFonts w:ascii="Cambria Math" w:hAnsi="Cambria Math"/>
          </w:rPr>
          <m:t>dφ=</m:t>
        </m:r>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(γ)⋅dγ</m:t>
        </m:r>
      </m:oMath>
      <w:r w:rsidRPr="002D20CE">
        <w:t xml:space="preserve">, where </w:t>
      </w:r>
      <m:oMath>
        <m:r>
          <w:rPr>
            <w:rFonts w:ascii="Cambria Math" w:hAnsi="Cambria Math"/>
          </w:rPr>
          <m:t>dφ</m:t>
        </m:r>
      </m:oMath>
      <w:r w:rsidRPr="002D20CE">
        <w:t xml:space="preserve"> is the action of the mutation </w:t>
      </w:r>
      <m:oMath>
        <m:r>
          <w:rPr>
            <w:rFonts w:ascii="Cambria Math" w:hAnsi="Cambria Math"/>
          </w:rPr>
          <m:t>dγ</m:t>
        </m:r>
      </m:oMath>
      <w:r w:rsidRPr="002D20CE">
        <w:t xml:space="preserve"> on fitness and </w:t>
      </w:r>
      <m:oMath>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(γ)</m:t>
        </m:r>
      </m:oMath>
      <w:r w:rsidRPr="002D20CE">
        <w:t xml:space="preserve"> is the sensitivity of the mutated site to genotype changes. To compute the action of any mutation, </w:t>
      </w:r>
      <m:oMath>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(γ)</m:t>
        </m:r>
      </m:oMath>
      <w:r w:rsidRPr="002D20CE">
        <w:t xml:space="preserve"> is approximated with Evolutionary Trace (ET) ranks o</w:t>
      </w:r>
      <w:r w:rsidRPr="00F84DED">
        <w:t xml:space="preserve">f importance </w:t>
      </w:r>
      <w:r w:rsidRPr="00F84DED">
        <w:fldChar w:fldCharType="begin"/>
      </w:r>
      <w:r w:rsidR="00BF6B9A">
        <w:instrText xml:space="preserve"> ADDIN ZOTERO_ITEM CSL_CITATION {"citationID":"6ikkagoer","properties":{"formattedCitation":"(Lichtarge et al., 1996)","plainCitation":"(Lichtarge et al., 1996)"},"citationItems":[{"id":5218,"uris":["http://zotero.org/users/3155950/items/7JCE359F"],"uri":["http://zotero.org/users/3155950/items/7JCE359F"],"itemData":{"id":5218,"type":"article-journal","title":"An evolutionary trace method defines binding surfaces common to protein families","container-title":"Journal of Molecular Biology","page":"342-358","volume":"257","issue":"2","source":"PubMed","abstract":"X-ray or NMR structures of proteins are often derived without their ligands, and even when the structure of a full complex is available, the area of contact that is functionally and energetically significant may be a specialized subset of the geometric interface deduced from the spatial proximity between ligands. Thus, even after a structure is solved, it remains a major theoretical and experimental goal to localize protein functional interfaces and understand the role of their constituent residues. The evolutionary trace method is a systematic, transparent and novel predictive technique that identifies active sites and functional interfaces in proteins with known structure. It is based on the extraction of functionally important residues from sequence conservation patterns in homologous proteins, and on their mapping onto the protein surface to generate clusters identifying functional interfaces. The SH2 and SH3 modular signaling domains and the DNA binding domain of the nuclear hormone receptors provide tests for the accuracy and validity of our method. In each case, the evolutionary trace delineates the functional epitope and identifies residues critical to binding specificity. Based on mutational evolutionary analysis and on the structural homology of protein families, this simple and versatile approach should help focus site-directed mutagenesis studies of structure-function relationships in macromolecules, as well as studies of specificity in molecular recognition. More generally, it provides an evolutionary perspective for judging the functional or structural role of each residue in protein structure.","DOI":"10.1006/jmbi.1996.0167","ISSN":"0022-2836","note":"PMID: 8609628","journalAbbreviation":"J. Mol. Biol.","language":"eng","author":[{"family":"Lichtarge","given":"O."},{"family":"Bourne","given":"H. R."},{"family":"Cohen","given":"F. E."}],"issued":{"date-parts":[["1996",3,29]]},"PMID":"8609628"}}],"schema":"https://github.com/citation-style-language/schema/raw/master/csl-citation.json"} </w:instrText>
      </w:r>
      <w:r w:rsidRPr="00F84DED">
        <w:fldChar w:fldCharType="separate"/>
      </w:r>
      <w:r w:rsidRPr="00F84DED">
        <w:rPr>
          <w:rFonts w:cs="Liberation Serif"/>
        </w:rPr>
        <w:t>(Lichtarge et al., 1996)</w:t>
      </w:r>
      <w:r w:rsidRPr="00F84DED">
        <w:fldChar w:fldCharType="end"/>
      </w:r>
      <w:r>
        <w:t xml:space="preserve"> </w:t>
      </w:r>
      <w:r w:rsidRPr="002D20CE">
        <w:t>and</w:t>
      </w:r>
      <w:r>
        <w:t xml:space="preserve"> </w:t>
      </w:r>
      <m:oMath>
        <m:r>
          <w:rPr>
            <w:rFonts w:ascii="Cambria Math" w:hAnsi="Cambria Math"/>
          </w:rPr>
          <m:t>dγ</m:t>
        </m:r>
      </m:oMath>
      <w:r w:rsidRPr="002D20CE">
        <w:t xml:space="preserve"> with inverse amino acid substitution log-odds. ET measures the importance of protein residues by accounting for the phylogenetic distances between homologous sequences (</w:t>
      </w:r>
      <m:oMath>
        <m:r>
          <w:rPr>
            <w:rFonts w:ascii="Cambria Math" w:hAnsi="Cambria Math"/>
          </w:rPr>
          <m:t>dφ</m:t>
        </m:r>
      </m:oMath>
      <w:r w:rsidRPr="002D20CE">
        <w:t>) that vary at a residue position (</w:t>
      </w:r>
      <m:oMath>
        <m:r>
          <w:rPr>
            <w:rFonts w:ascii="Cambria Math" w:hAnsi="Cambria Math"/>
          </w:rPr>
          <m:t>dγ</m:t>
        </m:r>
      </m:oMath>
      <w:r w:rsidRPr="002D20CE">
        <w:t xml:space="preserve">). The substitution log-odds are the tendencies of amino acids to substitute one another in proteins and reflect the differences in various physicochemical properties of amino acids. We calculated these log-odds using data from numerous homologous sequence pairs, accounting for the different functional importance of the amino acids. </w:t>
      </w:r>
      <w:r w:rsidRPr="002D20CE">
        <w:rPr>
          <w:rFonts w:eastAsiaTheme="minorEastAsia"/>
        </w:rPr>
        <w:t xml:space="preserve">The computed fitness change </w:t>
      </w:r>
      <m:oMath>
        <m:r>
          <w:rPr>
            <w:rFonts w:ascii="Cambria Math" w:hAnsi="Cambria Math"/>
          </w:rPr>
          <m:t>dφ</m:t>
        </m:r>
      </m:oMath>
      <w:r w:rsidRPr="002D20CE">
        <w:rPr>
          <w:rFonts w:eastAsiaTheme="minorEastAsia"/>
        </w:rPr>
        <w:t xml:space="preserve">, or </w:t>
      </w:r>
      <w:r w:rsidRPr="002D20CE">
        <w:t xml:space="preserve">Evolutionary Action score, has been shown to correlate with experimental loss of function, clinical association, </w:t>
      </w:r>
      <w:r w:rsidRPr="00F84DED">
        <w:t xml:space="preserve">morbidity, and mortality </w:t>
      </w:r>
      <w:r w:rsidRPr="00F84DED">
        <w:fldChar w:fldCharType="begin"/>
      </w:r>
      <w:r w:rsidR="00BF6B9A">
        <w:instrText xml:space="preserve"> ADDIN ZOTERO_ITEM CSL_CITATION {"citationID":"KzpDUbjQ","properties":{"formattedCitation":"(Katsonis and Lichtarge, 2014; Neskey et al., 2015)","plainCitation":"(Katsonis and Lichtarge, 2014; Neskey et al., 2015)"},"citationItems":[{"id":5211,"uris":["http://zotero.org/users/3155950/items/26GCJI6U"],"uri":["http://zotero.org/users/3155950/items/26GCJI6U"],"itemData":{"id":5211,"type":"article-journal","title":"A formal perturbation equation between genotype and phenotype determines the evolutionary action of protein coding variations on fitness","container-title":"Genome Research","page":"gr.176214.114","source":"genome.cshlp.org","abstract":"The relationship between genotype mutations and phenotype variations determines health in the short term and evolution over the long term, and it hinges on the action of mutations on fitness. A fundamental difficulty in determining this action, however, is that it depends on the unique context of each mutation, which is complex and often cryptic. As a result, the effect of most genome variations on molecular function and overall fitness remains unknown, and stands apart from population genetics theories linking fitness effect to polymorphism frequency. Here, we hypothesize that evolution is a continuous and differentiable physical process coupling genotype to phenotype. This leads to a formal equation for the action of coding mutations on fitness that can be interpreted as a product of the evolutionary importance of the mutated site with the difference in amino acid similarity. Approximations for these terms are readily computable from phylogenetic sequence analysis, and we show mutational, clinical, and population genetic evidence that this action equation predicts the effect of point mutations in vivo and in vitro in diverse proteins, correlates disease-causing gene mutations with morbidity, and determines the frequency of human coding polymorphisms, respectively. Thus elementary calculus and phylogenetics can be integrated into a perturbation analysis of the evolutionary relationship between genotype and phenotype that quantitatively links point mutations to function and fitness and that opens a new analytic framework for equations of biology. In practice, this work explicitly bridges molecular evolution with population genetics with applications from protein redesign to the clinical assessment of human genetic variations.","DOI":"10.1101/gr.176214.114","ISSN":"1088-9051, 1549-5469","note":"PMID: 25217195","journalAbbreviation":"Genome Res.","language":"en","author":[{"family":"Katsonis","given":"Panagiotis"},{"family":"Lichtarge","given":"Olivier"}],"issued":{"date-parts":[["2014",9,12]]},"PMID":"25217195"}},{"id":5234,"uris":["http://zotero.org/users/3155950/items/KF6CUKUD"],"uri":["http://zotero.org/users/3155950/items/KF6CUKUD"],"itemData":{"id":5234,"type":"article-journal","title":"Evolutionary Action Score of TP53 Identifies High-Risk Mutations Associated with Decreased Survival and Increased Distant Metastases in Head and Neck Cancer","container-title":"Cancer Research","page":"1527-1536","volume":"75","issue":"7","source":"PubMed","abstract":"TP53 is the most frequently altered gene in head and neck squamous cell carcinoma, with mutations occurring in over two-thirds of cases, but the prognostic significance of these mutations remains elusive. In the current study, we evaluated a novel computational approach termed evolutionary action (EAp53) to stratify patients with tumors harboring TP53 mutations as high or low risk, and validated this system in both in vivo and in vitro models. Patients with high-risk TP53 mutations had the poorest survival outcomes and the shortest time to the development of distant metastases. Tumor cells expressing high-risk TP53 mutations were more invasive and tumorigenic and they exhibited a higher incidence of lung metastases. We also documented an association between the presence of high-risk mutations and decreased expression of TP53 target genes, highlighting key cellular pathways that are likely to be dysregulated by this subset of p53 mutations that confer particularly aggressive tumor behavior. Overall, our work validated EAp53 as a novel computational tool that may be useful in clinical prognosis of tumors harboring p53 mutations.","DOI":"10.1158/0008-5472.CAN-14-2735","ISSN":"1538-7445","note":"PMID: 25634208\nPMCID: PMC4383697","journalAbbreviation":"Cancer Res.","language":"eng","author":[{"family":"Neskey","given":"David M."},{"family":"Osman","given":"Abdullah A."},{"family":"Ow","given":"Thomas J."},{"family":"Katsonis","given":"Panagiotis"},{"family":"McDonald","given":"Thomas"},{"family":"Hicks","given":"Stephanie C."},{"family":"Hsu","given":"Teng-Kuei"},{"family":"Pickering","given":"Curtis R."},{"family":"Ward","given":"Alexandra"},{"family":"Patel","given":"Ameeta"},{"family":"Yordy","given":"John S."},{"family":"Skinner","given":"Heath D."},{"family":"Giri","given":"Uma"},{"family":"Sano","given":"Daisuke"},{"family":"Story","given":"Michael D."},{"family":"Beadle","given":"Beth M."},{"family":"El-Naggar","given":"Adel K."},{"family":"Kies","given":"Merrill S."},{"family":"William","given":"William N."},{"family":"Caulin","given":"Carlos"},{"family":"Frederick","given":"Mitchell"},{"family":"Kimmel","given":"Marek"},{"family":"Myers","given":"Jeffrey N."},{"family":"Lichtarge","given":"Olivier"}],"issued":{"date-parts":[["2015",4,1]]},"PMID":"25634208","PMCID":"PMC4383697"}}],"schema":"https://github.com/citation-style-language/schema/raw/master/csl-citation.json"} </w:instrText>
      </w:r>
      <w:r w:rsidRPr="00F84DED">
        <w:fldChar w:fldCharType="separate"/>
      </w:r>
      <w:r w:rsidRPr="00DC565A">
        <w:rPr>
          <w:rFonts w:cs="Liberation Serif"/>
        </w:rPr>
        <w:t>(Katsonis and Lichtarge, 2014; Neskey et al., 2015)</w:t>
      </w:r>
      <w:r w:rsidRPr="00F84DED">
        <w:fldChar w:fldCharType="end"/>
      </w:r>
      <w:r>
        <w:t xml:space="preserve"> .</w:t>
      </w:r>
      <w:r w:rsidRPr="002D20CE">
        <w:t xml:space="preserve"> EA is available for non-profit use at http://mammoth.bcm.tmc.edu/EvolutionaryAction. </w:t>
      </w:r>
    </w:p>
    <w:p w:rsidR="00045007" w:rsidRPr="002D20CE" w:rsidRDefault="00045007" w:rsidP="001B5592">
      <w:pPr>
        <w:spacing w:line="480" w:lineRule="auto"/>
        <w:jc w:val="both"/>
      </w:pPr>
    </w:p>
    <w:p w:rsidR="00045007" w:rsidRDefault="00045007" w:rsidP="00BB0520">
      <w:pPr>
        <w:widowControl/>
        <w:suppressAutoHyphens w:val="0"/>
        <w:spacing w:line="480" w:lineRule="auto"/>
        <w:jc w:val="both"/>
        <w:rPr>
          <w:rFonts w:ascii="Times New Roman" w:hAnsi="Times New Roman" w:cs="Times New Roman"/>
          <w:b/>
        </w:rPr>
      </w:pPr>
      <w:proofErr w:type="spellStart"/>
      <w:r>
        <w:rPr>
          <w:rFonts w:ascii="Times New Roman" w:hAnsi="Times New Roman" w:cs="Times New Roman"/>
          <w:b/>
        </w:rPr>
        <w:t>Moult</w:t>
      </w:r>
      <w:proofErr w:type="spellEnd"/>
      <w:r w:rsidRPr="00BA33DB">
        <w:rPr>
          <w:rFonts w:ascii="Times New Roman" w:hAnsi="Times New Roman" w:cs="Times New Roman"/>
          <w:b/>
        </w:rPr>
        <w:t xml:space="preserve"> laboratory</w:t>
      </w:r>
      <w:r>
        <w:rPr>
          <w:rFonts w:ascii="Times New Roman" w:hAnsi="Times New Roman" w:cs="Times New Roman"/>
          <w:b/>
        </w:rPr>
        <w:t xml:space="preserve"> </w:t>
      </w:r>
      <w:r w:rsidR="005B342D">
        <w:rPr>
          <w:rFonts w:ascii="Times New Roman" w:hAnsi="Times New Roman" w:cs="Times New Roman"/>
          <w:b/>
        </w:rPr>
        <w:t>(submissions</w:t>
      </w:r>
      <w:r w:rsidRPr="00D42729">
        <w:rPr>
          <w:rFonts w:ascii="Times New Roman" w:hAnsi="Times New Roman" w:cs="Times New Roman"/>
          <w:b/>
        </w:rPr>
        <w:t xml:space="preserve"> </w:t>
      </w:r>
      <w:r>
        <w:rPr>
          <w:rFonts w:ascii="Times New Roman" w:hAnsi="Times New Roman" w:cs="Times New Roman"/>
          <w:b/>
        </w:rPr>
        <w:t>9</w:t>
      </w:r>
      <w:r w:rsidRPr="00D42729">
        <w:rPr>
          <w:rFonts w:ascii="Times New Roman" w:hAnsi="Times New Roman" w:cs="Times New Roman"/>
          <w:b/>
        </w:rPr>
        <w:t>,</w:t>
      </w:r>
      <w:r w:rsidR="005B342D">
        <w:rPr>
          <w:rFonts w:ascii="Times New Roman" w:hAnsi="Times New Roman" w:cs="Times New Roman"/>
          <w:b/>
        </w:rPr>
        <w:t xml:space="preserve"> </w:t>
      </w:r>
      <w:r w:rsidRPr="00D42729">
        <w:rPr>
          <w:rFonts w:ascii="Times New Roman" w:hAnsi="Times New Roman" w:cs="Times New Roman"/>
          <w:b/>
        </w:rPr>
        <w:t>1</w:t>
      </w:r>
      <w:r>
        <w:rPr>
          <w:rFonts w:ascii="Times New Roman" w:hAnsi="Times New Roman" w:cs="Times New Roman"/>
          <w:b/>
        </w:rPr>
        <w:t>5</w:t>
      </w:r>
      <w:r w:rsidRPr="00D42729">
        <w:rPr>
          <w:rFonts w:ascii="Times New Roman" w:hAnsi="Times New Roman" w:cs="Times New Roman"/>
          <w:b/>
        </w:rPr>
        <w:t>,</w:t>
      </w:r>
      <w:r w:rsidR="005B342D">
        <w:rPr>
          <w:rFonts w:ascii="Times New Roman" w:hAnsi="Times New Roman" w:cs="Times New Roman"/>
          <w:b/>
        </w:rPr>
        <w:t xml:space="preserve"> </w:t>
      </w:r>
      <w:r>
        <w:rPr>
          <w:rFonts w:ascii="Times New Roman" w:hAnsi="Times New Roman" w:cs="Times New Roman"/>
          <w:b/>
        </w:rPr>
        <w:t>20</w:t>
      </w:r>
      <w:r w:rsidRPr="00D42729">
        <w:rPr>
          <w:rFonts w:ascii="Times New Roman" w:hAnsi="Times New Roman" w:cs="Times New Roman"/>
          <w:b/>
        </w:rPr>
        <w:t>)</w:t>
      </w:r>
    </w:p>
    <w:p w:rsidR="00045007" w:rsidRDefault="00045007" w:rsidP="001B5592">
      <w:pPr>
        <w:widowControl/>
        <w:suppressAutoHyphens w:val="0"/>
        <w:spacing w:after="200" w:line="480" w:lineRule="auto"/>
        <w:jc w:val="both"/>
        <w:rPr>
          <w:rFonts w:ascii="Times New Roman" w:hAnsi="Times New Roman" w:cs="Times New Roman"/>
        </w:rPr>
      </w:pPr>
      <w:r w:rsidRPr="008C227A">
        <w:rPr>
          <w:rFonts w:ascii="Times New Roman" w:hAnsi="Times New Roman" w:cs="Times New Roman"/>
        </w:rPr>
        <w:t xml:space="preserve">We adopted an ensemble-like approach to predict relative cell growth rate for p16 mutations. For </w:t>
      </w:r>
      <w:r w:rsidRPr="006D1F62">
        <w:rPr>
          <w:rFonts w:ascii="Times New Roman" w:hAnsi="Times New Roman" w:cs="Times New Roman"/>
        </w:rPr>
        <w:t xml:space="preserve">training, 30 cell proliferation assay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{"citationID":"2fkb1np4lb","properties":{"formattedCitation":"(Ruas et al., 1999)","plainCitation":"(Ruas et al., 1999)"},"citationItems":[{"id":5219,"uris":["http://zotero.org/users/3155950/items/7WGWMWHM"],"uri":["http://zotero.org/users/3155950/items/7WGWMWHM"],"itemData":{"id":5219,"type":"article-journal","title":"Functional evaluation of tumour-specific variants of p16INK4a/CDKN2A: correlation with protein structure information","container-title":"Oncogene","page":"5423-5434","volume":"18","issue":"39","source":"PubMed","abstract":"Inherited mutations in the CDKN2A/INK4a/MTS1 tumour suppressor gene on chromosome 9p21 are associated with familial predisposition to melanoma and other tumour types. Nonsense and missense mutations are also found in a variety of sporadic cancers, and over 140 sequence variants have already been recorded in the literature. In assessing the relevance of these variants and for counselling members of affected families, it is important to distinguish inactivating mutations from harmless polymorphisms. Existing functional assays have frequently reached conflicting conclusions and no single test appears adequate. Here we evaluate a number of alternatives including a novel assay based on retroviral delivery of p16INK4a cDNAs into human diploid fibroblasts. Among the 17 sequence variants analysed, three distinct categories can be distinguished: those that abrogate the binding of p16INK4a to CDK4 and CDK6, those that alter the properties of the protein without preventing it from interacting with CDKs, and those that have no discernible effect on protein function. These distinctions can be rationalized by considering the impact of the amino acid changes on the three-dimensional structure of the protein.","DOI":"10.1038/sj.onc.1202918","ISSN":"0950-9232","note":"PMID: 10498896","shortTitle":"Functional evaluation of tumour-specific variants of p16INK4a/CDKN2A","journalAbbreviation":"Oncogene","language":"eng","author":[{"family":"Ruas","given":"M."},{"family":"Brookes","given":"S."},{"family":"McDonald","given":"N. Q."},{"family":"Peters","given":"G."}],"issued":{"date-parts":[["1999",9,23]]},"PMID":"10498896"}}],"schema":"https://github.com/citation-style-language/schema/raw/master/csl-citation.json"}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(Ruas et al., 1999)</w:t>
      </w:r>
      <w:r w:rsidRPr="006D1F62">
        <w:rPr>
          <w:rFonts w:ascii="Times New Roman" w:hAnsi="Times New Roman" w:cs="Times New Roman"/>
        </w:rPr>
        <w:fldChar w:fldCharType="end"/>
      </w:r>
      <w:r w:rsidRPr="006D1F62">
        <w:rPr>
          <w:rFonts w:ascii="Times New Roman" w:hAnsi="Times New Roman" w:cs="Times New Roman"/>
        </w:rPr>
        <w:t xml:space="preserve"> data points for p16 missense mutations at one of 25 positions were assembled from the literature and from the information provided with the challenge. We used six methods to analyze the function impact of the missense mutations: SNPs3D stability method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{"citationID":"7aav07hdi","properties":{"formattedCitation":"(Yue and Moult, 2006)","plainCitation":"(Yue and Moult, 2006)"},"citationItems":[{"id":5225,"uris":["http://zotero.org/users/3155950/items/EEJ39GU7"],"uri":["http://zotero.org/users/3155950/items/EEJ39GU7"],"itemData":{"id":5225,"type":"article-journal","title":"Identification and analysis of deleterious human SNPs","container-title":"Journal of Molecular Biology","page":"1263-1274","volume":"356","issue":"5","source":"PubMed","abstract":"We have developed two methods of identifying which non-synonomous single base changes have a deleterious effect on protein function in vivo. One method, described elsewhere, analyzes the effect of the resulting amino acid change on protein stability, utilizing structural information. The other method, introduced here, makes use of the conservation and type of residues observed at a base change position within a protein family. A machine learning technique, the support vector machine, is trained on single amino acid changes that cause monogenic disease, with a control set of amino acid changes fixed between species. Both methods are used to identify deleterious single nucleotide polymorphisms (SNPs) in the human population. After carefully controlling for errors, we find that approximately one quarter of known non-synonymous SNPs are deleterious by these criteria, providing a set of possible contributors to human complex disease traits.","DOI":"10.1016/j.jmb.2005.12.025","ISSN":"0022-2836","note":"PMID: 16412461","journalAbbreviation":"J. Mol. Biol.","language":"eng","author":[{"family":"Yue","given":"Peng"},{"family":"Moult","given":"John"}],"issued":{"date-parts":[["2006",3,10]]},"PMID":"16412461"}}],"schema":"https://github.com/citation-style-language/schema/raw/master/csl-citation.json"}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(Yue and Moult, 2006)</w:t>
      </w:r>
      <w:r w:rsidRPr="006D1F62">
        <w:rPr>
          <w:rFonts w:ascii="Times New Roman" w:hAnsi="Times New Roman" w:cs="Times New Roman"/>
        </w:rPr>
        <w:fldChar w:fldCharType="end"/>
      </w:r>
      <w:r w:rsidRPr="006D1F62">
        <w:rPr>
          <w:rFonts w:ascii="Times New Roman" w:hAnsi="Times New Roman" w:cs="Times New Roman"/>
        </w:rPr>
        <w:t xml:space="preserve">, SNPs3D sequence profile method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{"citationID":"2hhq8taa0o","properties":{"formattedCitation":"(Yue and Moult, 2006)","plainCitation":"(Yue and Moult, 2006)"},"citationItems":[{"id":5225,"uris":["http://zotero.org/users/3155950/items/EEJ39GU7"],"uri":["http://zotero.org/users/3155950/items/EEJ39GU7"],"itemData":{"id":5225,"type":"article-journal","title":"Identification and analysis of deleterious human SNPs","container-title":"Journal of Molecular Biology","page":"1263-1274","volume":"356","issue":"5","source":"PubMed","abstract":"We have developed two methods of identifying which non-synonomous single base changes have a deleterious effect on protein function in vivo. One method, described elsewhere, analyzes the effect of the resulting amino acid change on protein stability, utilizing structural information. The other method, introduced here, makes use of the conservation and type of residues observed at a base change position within a protein family. A machine learning technique, the support vector machine, is trained on single amino acid changes that cause monogenic disease, with a control set of amino acid changes fixed between species. Both methods are used to identify deleterious single nucleotide polymorphisms (SNPs) in the human population. After carefully controlling for errors, we find that approximately one quarter of known non-synonymous SNPs are deleterious by these criteria, providing a set of possible contributors to human complex disease traits.","DOI":"10.1016/j.jmb.2005.12.025","ISSN":"0022-2836","note":"PMID: 16412461","journalAbbreviation":"J. Mol. Biol.","language":"eng","author":[{"family":"Yue","given":"Peng"},{"family":"Moult","given":"John"}],"issued":{"date-parts":[["2006",3,10]]},"PMID":"16412461"}}],"schema":"https://github.com/citation-style-language/schema/raw/master/csl-citation.json"}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(Yue and Moult, 2006)</w:t>
      </w:r>
      <w:r w:rsidRPr="006D1F62">
        <w:rPr>
          <w:rFonts w:ascii="Times New Roman" w:hAnsi="Times New Roman" w:cs="Times New Roman"/>
        </w:rPr>
        <w:fldChar w:fldCharType="end"/>
      </w:r>
      <w:r w:rsidRPr="006D1F62">
        <w:rPr>
          <w:rFonts w:ascii="Times New Roman" w:hAnsi="Times New Roman" w:cs="Times New Roman"/>
        </w:rPr>
        <w:t xml:space="preserve">, Polyphen-2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{"citationID":"26anujbupg","properties":{"formattedCitation":"(Adzhubei et al., 2010)","plainCitation":"(Adzhubei et al., 2010)"},"citationItems":[{"id":5240,"uris":["http://zotero.org/users/3155950/items/SPVS63ZS"],"uri":["http://zotero.org/users/3155950/items/SPVS63ZS"],"itemData":{"id":5240,"type":"article-journal","title":"A method and server for predicting damaging missense mutations","container-title":"Nature Methods","page":"248-249","volume":"7","issue":"4","source":"www.nature.com","abstract":"To the editor: Applications of rapidly advancing sequencing technology exacerbate the need to interpret individual sequence variants. Sequencing of phenotyped clinical subjects will soon become a method of choice in studies of the genetic causes of Mendelian and complex diseases.","DOI":"10.1038/nmeth0410-248","ISSN":"1548-7091","language":"en","author":[{"family":"Adzhubei","given":"Ivan A."},{"family":"Schmidt","given":"Steffen"},{"family":"Peshkin","given":"Leonid"},{"family":"Ramensky","given":"Vasily E."},{"family":"Gerasimova","given":"Anna"},{"family":"Bork","given":"Peer"},{"family":"Kondrashov","given":"Alexey S."},{"family":"Sunyaev","given":"Shamil R."}],"issued":{"date-parts":[["2010",4,1]]}}}],"schema":"https://github.com/citation-style-language/schema/raw/master/csl-citation.json"}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(Adzhubei et al., 2010)</w:t>
      </w:r>
      <w:r w:rsidRPr="006D1F62">
        <w:rPr>
          <w:rFonts w:ascii="Times New Roman" w:hAnsi="Times New Roman" w:cs="Times New Roman"/>
        </w:rPr>
        <w:fldChar w:fldCharType="end"/>
      </w:r>
      <w:r w:rsidRPr="006D1F62">
        <w:rPr>
          <w:rFonts w:ascii="Times New Roman" w:hAnsi="Times New Roman" w:cs="Times New Roman"/>
        </w:rPr>
        <w:t xml:space="preserve">, SIFT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{"citationID":"1543e5hkh4","properties":{"formattedCitation":"(Kumar et al., 2009)","plainCitation":"(Kumar et al., 2009)"},"citationItems":[{"id":5243,"uris":["http://zotero.org/users/3155950/items/WFJMS5CT"],"uri":["http://zotero.org/users/3155950/items/WFJMS5CT"],"itemData":{"id":5243,"type":"article-journal","title":"Predicting the effects of coding non-synonymous variants on protein function using the SIFT algorithm","container-title":"Nature Protocols","page":"1073-1081","volume":"4","issue":"7","source":"www.nature.com","abstract":"The effect of genetic mutation on phenotype is of significant interest in genetics. The type of genetic mutation that causes a single amino acid substitution (AAS) in a protein sequence is called a non-synonymous single nucleotide polymorphism (nsSNP). An nsSNP could potentially affect the function of the protein, subsequently altering the carrier's phenotype. This protocol describes the use of the 'Sorting Tolerant From Intolerant' (SIFT) algorithm in predicting whether an AAS affects protein function. To assess the effect of a substitution, SIFT assumes that important positions in a protein sequence have been conserved throughout evolution and therefore substitutions at these positions may affect protein function. Thus, by using sequence homology, SIFT predicts the effects of all possible substitutions at each position in the protein sequence. The protocol typically takes 5–20 min, depending on the input. SIFT is available as an online tool (http://sift-dna.org).","DOI":"10.1038/nprot.2009.86","ISSN":"1754-2189","journalAbbreviation":"Nat. Protocols","language":"en","author":[{"family":"Kumar","given":"Prateek"},{"family":"Henikoff","given":"Steven"},{"family":"Ng","given":"Pauline C."}],"issued":{"date-parts":[["2009"]],"season":"Giugno"}}}],"schema":"https://github.com/citation-style-language/schema/raw/master/csl-citation.json"}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(Kumar et al., 2009)</w:t>
      </w:r>
      <w:r w:rsidRPr="006D1F62">
        <w:rPr>
          <w:rFonts w:ascii="Times New Roman" w:hAnsi="Times New Roman" w:cs="Times New Roman"/>
        </w:rPr>
        <w:fldChar w:fldCharType="end"/>
      </w:r>
      <w:r w:rsidRPr="006D1F62">
        <w:rPr>
          <w:rFonts w:ascii="Times New Roman" w:hAnsi="Times New Roman" w:cs="Times New Roman"/>
        </w:rPr>
        <w:t xml:space="preserve">, CHASM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{"citationID":"28scuuok2","properties":{"formattedCitation":"(Carter et al., 2009)","plainCitation":"(Carter et al., 2009)"},"citationItems":[{"id":5233,"uris":["http://zotero.org/users/3155950/items/JEB5JCFH"],"uri":["http://zotero.org/users/3155950/items/JEB5JCFH"],"itemData":{"id":5233,"type":"article-journal","title":"Cancer-Specific High-Throughput Annotation of Somatic Mutations: Computational Prediction of Driver Missense Mutations","container-title":"Cancer Research","page":"6660-6667","volume":"69","issue":"16","source":"cancerres.aacrjournals.org","abstract":"Large-scale sequencing of cancer genomes has uncovered thousands of DNA alterations, but the functional relevance of the majority of these mutations to tumorigenesis is unknown. We have developed a computational method, called Cancer-specific High-throughput Annotation of Somatic Mutations (CHASM), to identify and prioritize those missense mutations most likely to generate functional changes that enhance tumor cell proliferation. The method has high sensitivity and specificity when discriminating between known driver missense mutations and randomly generated missense mutations (area under receiver operating characteristic curve, &gt;0.91; area under Precision-Recall curve, &gt;0.79). CHASM substantially outperformed previously described missense mutation function prediction methods at discriminating known oncogenic mutations in P53 and the tyrosine kinase epidermal growth factor receptor. We applied the method to 607 missense mutations found in a recent glioblastoma multiforme sequencing study. Based on a model that assumed the glioblastoma multiforme mutations are a mixture of drivers and passengers, we estimate that 8% of these mutations are drivers, causally contributing to tumorigenesis. [Cancer Res 2009;69(16):OF6660–8]","DOI":"10.1158/0008-5472.CAN-09-1133","ISSN":"0008-5472, 1538-7445","note":"PMID: 19654296","shortTitle":"Cancer-Specific High-Throughput Annotation of Somatic Mutations","journalAbbreviation":"Cancer Res","language":"en","author":[{"family":"Carter","given":"Hannah"},{"family":"Chen","given":"Sining"},{"family":"Isik","given":"Leyla"},{"family":"Tyekucheva","given":"Svitlana"},{"family":"Velculescu","given":"Victor E."},{"family":"Kinzler","given":"Kenneth W."},{"family":"Vogelstein","given":"Bert"},{"family":"Karchin","given":"Rachel"}],"issued":{"date-parts":[["2009",8,15]]},"PMID":"19654296"}}],"schema":"https://github.com/citation-style-language/schema/raw/master/csl-citation.json"}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(Carter et al., 2009)</w:t>
      </w:r>
      <w:r w:rsidRPr="006D1F62">
        <w:rPr>
          <w:rFonts w:ascii="Times New Roman" w:hAnsi="Times New Roman" w:cs="Times New Roman"/>
        </w:rPr>
        <w:fldChar w:fldCharType="end"/>
      </w:r>
      <w:r w:rsidRPr="006D1F62">
        <w:rPr>
          <w:rFonts w:ascii="Times New Roman" w:hAnsi="Times New Roman" w:cs="Times New Roman"/>
        </w:rPr>
        <w:t xml:space="preserve">, and </w:t>
      </w:r>
      <w:proofErr w:type="spellStart"/>
      <w:r w:rsidRPr="006D1F62">
        <w:rPr>
          <w:rFonts w:ascii="Times New Roman" w:hAnsi="Times New Roman" w:cs="Times New Roman"/>
        </w:rPr>
        <w:t>Condel</w:t>
      </w:r>
      <w:proofErr w:type="spellEnd"/>
      <w:r w:rsidRPr="006D1F62">
        <w:rPr>
          <w:rFonts w:ascii="Times New Roman" w:hAnsi="Times New Roman" w:cs="Times New Roman"/>
        </w:rPr>
        <w:t xml:space="preserve"> </w:t>
      </w:r>
      <w:r w:rsidRPr="006D1F62">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{"citationID":"21qfccnvs3","properties":{"formattedCitation":"{\\rtf (Gonz\\uc0\\u225{}lez-P\\uc0\\u233{}rez and L\\uc0\\u243{}pez-Bigas, 2011)}","plainCitation":"(González-Pérez and López-Bigas, 2011)"},"citationItems":[{"id":5232,"uris":["http://zotero.org/users/3155950/items/I25J72G2"],"uri":["http://zotero.org/users/3155950/items/I25J72G2"],"itemData":{"id":5232,"type":"article-journal","title":"Improving the Assessment of the Outcome of Nonsynonymous SNVs with a Consensus Deleteriousness Score, Condel","container-title":"The American Journal of Human Genetics","page":"440-449","volume":"88","issue":"4","source":"www.cell.com","abstract":"Several large ongoing initiatives that profit from next-generation sequencing technologies have driven—and in coming years will continue to drive—the emergence of long catalogs of missense single-nucleotide variants (SNVs) in the human genome. As a consequence, researchers have developed various methods and their related computational tools to classify these missense SNVs as probably deleterious or probably neutral polymorphisms. The outputs produced by each of these computational tools are of different natures and thus difficult to compare and integrate. Taking advantage of the possible complementarity between different tools might allow more accurate classifications. Here we propose an effective approach to integrating the output of some of these tools into a unified classification; this approach is based on a weighted average of the normalized scores of the individual methods (WAS). (In this paper, the approach is illustrated for the integration of five tools.) We show that this WAS outperforms each individual method in the task of classifying missense SNVs as deleterious or neutral. Furthermore, we demonstrate that this WAS can be used not only for classification purposes (deleterious versus neutral mutation) but also as an indicator of the impact of the mutation on the functionality of the mutant protein. In other words, it may be used as a deleteriousness score of missense SNVs. Therefore, we recommend the use of this WAS as a consensus deleteriousness score of missense mutations (Condel).","DOI":"10.1016/j.ajhg.2011.03.004","ISSN":"0002-9297, 1537-6605","note":"PMID: 21457909","journalAbbreviation":"The American Journal of Human Genetics","language":"English","author":[{"family":"González-Pérez","given":"Abel"},{"family":"López-Bigas","given":"Nuria"}],"issued":{"date-parts":[["2011",4,8]]},"PMID":"21457909"}}],"schema":"https://github.com/citation-style-language/schema/raw/master/csl-citation.json"} </w:instrText>
      </w:r>
      <w:r w:rsidRPr="006D1F62">
        <w:rPr>
          <w:rFonts w:ascii="Times New Roman" w:hAnsi="Times New Roman" w:cs="Times New Roman"/>
        </w:rPr>
        <w:fldChar w:fldCharType="separate"/>
      </w:r>
      <w:r w:rsidRPr="006D1F62">
        <w:rPr>
          <w:rFonts w:ascii="Times New Roman" w:hAnsi="Times New Roman" w:cs="Times New Roman"/>
        </w:rPr>
        <w:t>(González-Pérez and López-Bigas, 2011)</w:t>
      </w:r>
      <w:r w:rsidRPr="006D1F62">
        <w:rPr>
          <w:rFonts w:ascii="Times New Roman" w:hAnsi="Times New Roman" w:cs="Times New Roman"/>
        </w:rPr>
        <w:fldChar w:fldCharType="end"/>
      </w:r>
      <w:r w:rsidRPr="006D1F62">
        <w:rPr>
          <w:rFonts w:ascii="Times New Roman" w:hAnsi="Times New Roman" w:cs="Times New Roman"/>
        </w:rPr>
        <w:t>.  Two multivariate</w:t>
      </w:r>
      <w:r w:rsidRPr="008C227A">
        <w:rPr>
          <w:rFonts w:ascii="Times New Roman" w:hAnsi="Times New Roman" w:cs="Times New Roman"/>
        </w:rPr>
        <w:t xml:space="preserve"> linear models </w:t>
      </w:r>
      <w:proofErr w:type="gramStart"/>
      <w:r w:rsidRPr="008C227A">
        <w:rPr>
          <w:rFonts w:ascii="Times New Roman" w:hAnsi="Times New Roman" w:cs="Times New Roman"/>
        </w:rPr>
        <w:t>were used</w:t>
      </w:r>
      <w:proofErr w:type="gramEnd"/>
      <w:r w:rsidRPr="008C227A">
        <w:rPr>
          <w:rFonts w:ascii="Times New Roman" w:hAnsi="Times New Roman" w:cs="Times New Roman"/>
        </w:rPr>
        <w:t xml:space="preserve"> to fit the training data. The input are scores of the six methods, together with the total numbers of deleterious predictions and of neutral predictions. The output is the relative cell growth rate. The first linear model </w:t>
      </w:r>
      <w:proofErr w:type="gramStart"/>
      <w:r w:rsidRPr="008C227A">
        <w:rPr>
          <w:rFonts w:ascii="Times New Roman" w:hAnsi="Times New Roman" w:cs="Times New Roman"/>
        </w:rPr>
        <w:t>was fitted</w:t>
      </w:r>
      <w:proofErr w:type="gramEnd"/>
      <w:r w:rsidRPr="008C227A">
        <w:rPr>
          <w:rFonts w:ascii="Times New Roman" w:hAnsi="Times New Roman" w:cs="Times New Roman"/>
        </w:rPr>
        <w:t xml:space="preserve"> to the raw data, and had an intercept. The second model </w:t>
      </w:r>
      <w:proofErr w:type="gramStart"/>
      <w:r w:rsidRPr="008C227A">
        <w:rPr>
          <w:rFonts w:ascii="Times New Roman" w:hAnsi="Times New Roman" w:cs="Times New Roman"/>
        </w:rPr>
        <w:t>was adjusted</w:t>
      </w:r>
      <w:proofErr w:type="gramEnd"/>
      <w:r w:rsidRPr="008C227A">
        <w:rPr>
          <w:rFonts w:ascii="Times New Roman" w:hAnsi="Times New Roman" w:cs="Times New Roman"/>
        </w:rPr>
        <w:t xml:space="preserve"> so that 50% growth rate </w:t>
      </w:r>
      <w:r w:rsidRPr="008C227A">
        <w:rPr>
          <w:rFonts w:ascii="Times New Roman" w:hAnsi="Times New Roman" w:cs="Times New Roman"/>
        </w:rPr>
        <w:lastRenderedPageBreak/>
        <w:t xml:space="preserve">corresponded to the most neutral value for each method. Both models achieved an encouraging R-squared (0.61 and 0.91 respectively), as well as a significant P-value. Regression residual errors at a similar level were achieved by leave-one-out cross validation. We then predicted the relative cell growth rate for variants in the challenge set using the two models. Because the cell lines used in the training set and the challenge set are different, and we observed relatively high cell growth rates in our predictions on the challenge set, we added a third submission in which predicted values </w:t>
      </w:r>
      <w:proofErr w:type="gramStart"/>
      <w:r w:rsidRPr="008C227A">
        <w:rPr>
          <w:rFonts w:ascii="Times New Roman" w:hAnsi="Times New Roman" w:cs="Times New Roman"/>
        </w:rPr>
        <w:t>are reduced</w:t>
      </w:r>
      <w:proofErr w:type="gramEnd"/>
      <w:r w:rsidRPr="008C227A">
        <w:rPr>
          <w:rFonts w:ascii="Times New Roman" w:hAnsi="Times New Roman" w:cs="Times New Roman"/>
        </w:rPr>
        <w:t xml:space="preserve"> by a factor of 1.47. We used the residual standard errors of the corresponding models as the confidence of the predictions.</w:t>
      </w:r>
    </w:p>
    <w:p w:rsidR="00045007" w:rsidRPr="008C227A" w:rsidRDefault="00045007" w:rsidP="001B5592">
      <w:pPr>
        <w:widowControl/>
        <w:suppressAutoHyphens w:val="0"/>
        <w:spacing w:after="200" w:line="480" w:lineRule="auto"/>
        <w:jc w:val="both"/>
        <w:rPr>
          <w:rFonts w:ascii="Times New Roman" w:hAnsi="Times New Roman" w:cs="Times New Roman"/>
        </w:rPr>
      </w:pPr>
    </w:p>
    <w:p w:rsidR="00045007" w:rsidRDefault="003B1E61" w:rsidP="00BB0520">
      <w:pPr>
        <w:widowControl/>
        <w:suppressAutoHyphens w:val="0"/>
        <w:spacing w:line="480" w:lineRule="auto"/>
        <w:jc w:val="both"/>
        <w:rPr>
          <w:rFonts w:ascii="Times New Roman" w:hAnsi="Times New Roman" w:cs="Times New Roman"/>
          <w:b/>
        </w:rPr>
      </w:pPr>
      <w:r w:rsidRPr="003B1E61">
        <w:rPr>
          <w:rFonts w:ascii="Times New Roman" w:hAnsi="Times New Roman" w:cs="Times New Roman"/>
          <w:b/>
        </w:rPr>
        <w:t>Yang</w:t>
      </w:r>
      <w:r w:rsidR="00E01EEB">
        <w:rPr>
          <w:rFonts w:ascii="Times New Roman" w:hAnsi="Times New Roman" w:cs="Times New Roman"/>
          <w:b/>
        </w:rPr>
        <w:t xml:space="preserve"> </w:t>
      </w:r>
      <w:r w:rsidRPr="003B1E61">
        <w:rPr>
          <w:rFonts w:ascii="Times New Roman" w:hAnsi="Times New Roman" w:cs="Times New Roman"/>
          <w:b/>
        </w:rPr>
        <w:t>&amp;</w:t>
      </w:r>
      <w:r w:rsidR="00E01EEB">
        <w:rPr>
          <w:rFonts w:ascii="Times New Roman" w:hAnsi="Times New Roman" w:cs="Times New Roman"/>
          <w:b/>
        </w:rPr>
        <w:t xml:space="preserve"> </w:t>
      </w:r>
      <w:r w:rsidRPr="003B1E61">
        <w:rPr>
          <w:rFonts w:ascii="Times New Roman" w:hAnsi="Times New Roman" w:cs="Times New Roman"/>
          <w:b/>
        </w:rPr>
        <w:t>Zhou</w:t>
      </w:r>
      <w:r w:rsidR="00045007" w:rsidRPr="009F4508">
        <w:rPr>
          <w:rFonts w:ascii="Times New Roman" w:hAnsi="Times New Roman" w:cs="Times New Roman"/>
          <w:b/>
        </w:rPr>
        <w:t xml:space="preserve"> laboratory</w:t>
      </w:r>
      <w:r w:rsidR="00045007">
        <w:rPr>
          <w:rFonts w:ascii="Times New Roman" w:hAnsi="Times New Roman" w:cs="Times New Roman"/>
          <w:b/>
        </w:rPr>
        <w:t xml:space="preserve"> </w:t>
      </w:r>
      <w:r w:rsidR="005B342D">
        <w:rPr>
          <w:rFonts w:ascii="Times New Roman" w:hAnsi="Times New Roman" w:cs="Times New Roman"/>
          <w:b/>
        </w:rPr>
        <w:t>(submissions</w:t>
      </w:r>
      <w:r w:rsidR="00045007" w:rsidRPr="00D42729">
        <w:rPr>
          <w:rFonts w:ascii="Times New Roman" w:hAnsi="Times New Roman" w:cs="Times New Roman"/>
          <w:b/>
        </w:rPr>
        <w:t xml:space="preserve"> </w:t>
      </w:r>
      <w:r w:rsidR="00045007">
        <w:rPr>
          <w:rFonts w:ascii="Times New Roman" w:hAnsi="Times New Roman" w:cs="Times New Roman"/>
          <w:b/>
        </w:rPr>
        <w:t>10</w:t>
      </w:r>
      <w:r w:rsidR="00045007" w:rsidRPr="00D42729">
        <w:rPr>
          <w:rFonts w:ascii="Times New Roman" w:hAnsi="Times New Roman" w:cs="Times New Roman"/>
          <w:b/>
        </w:rPr>
        <w:t>,</w:t>
      </w:r>
      <w:r w:rsidR="005B342D">
        <w:rPr>
          <w:rFonts w:ascii="Times New Roman" w:hAnsi="Times New Roman" w:cs="Times New Roman"/>
          <w:b/>
        </w:rPr>
        <w:t xml:space="preserve"> </w:t>
      </w:r>
      <w:r w:rsidR="00045007" w:rsidRPr="00D42729">
        <w:rPr>
          <w:rFonts w:ascii="Times New Roman" w:hAnsi="Times New Roman" w:cs="Times New Roman"/>
          <w:b/>
        </w:rPr>
        <w:t>1</w:t>
      </w:r>
      <w:r w:rsidR="00045007">
        <w:rPr>
          <w:rFonts w:ascii="Times New Roman" w:hAnsi="Times New Roman" w:cs="Times New Roman"/>
          <w:b/>
        </w:rPr>
        <w:t>6</w:t>
      </w:r>
      <w:r w:rsidR="00045007" w:rsidRPr="00D42729">
        <w:rPr>
          <w:rFonts w:ascii="Times New Roman" w:hAnsi="Times New Roman" w:cs="Times New Roman"/>
          <w:b/>
        </w:rPr>
        <w:t>,</w:t>
      </w:r>
      <w:r w:rsidR="005B342D">
        <w:rPr>
          <w:rFonts w:ascii="Times New Roman" w:hAnsi="Times New Roman" w:cs="Times New Roman"/>
          <w:b/>
        </w:rPr>
        <w:t xml:space="preserve"> </w:t>
      </w:r>
      <w:r w:rsidR="00045007">
        <w:rPr>
          <w:rFonts w:ascii="Times New Roman" w:hAnsi="Times New Roman" w:cs="Times New Roman"/>
          <w:b/>
        </w:rPr>
        <w:t>21,</w:t>
      </w:r>
      <w:r w:rsidR="005B342D">
        <w:rPr>
          <w:rFonts w:ascii="Times New Roman" w:hAnsi="Times New Roman" w:cs="Times New Roman"/>
          <w:b/>
        </w:rPr>
        <w:t xml:space="preserve"> </w:t>
      </w:r>
      <w:r w:rsidR="00045007">
        <w:rPr>
          <w:rFonts w:ascii="Times New Roman" w:hAnsi="Times New Roman" w:cs="Times New Roman"/>
          <w:b/>
        </w:rPr>
        <w:t>22</w:t>
      </w:r>
      <w:r w:rsidR="00045007" w:rsidRPr="00D42729">
        <w:rPr>
          <w:rFonts w:ascii="Times New Roman" w:hAnsi="Times New Roman" w:cs="Times New Roman"/>
          <w:b/>
        </w:rPr>
        <w:t>)</w:t>
      </w:r>
    </w:p>
    <w:p w:rsidR="00045007" w:rsidRPr="00F45328" w:rsidRDefault="00045007" w:rsidP="001B5592">
      <w:pPr>
        <w:spacing w:line="480" w:lineRule="auto"/>
        <w:jc w:val="both"/>
        <w:rPr>
          <w:rFonts w:ascii="Times New Roman" w:hAnsi="Times New Roman" w:cs="Times New Roman"/>
        </w:rPr>
      </w:pPr>
      <w:r w:rsidRPr="004274D4">
        <w:rPr>
          <w:rFonts w:ascii="Times New Roman" w:hAnsi="Times New Roman" w:cs="Times New Roman"/>
          <w:i/>
        </w:rPr>
        <w:t xml:space="preserve">Mutation free energy: </w:t>
      </w:r>
      <w:r w:rsidRPr="00F45328">
        <w:rPr>
          <w:rFonts w:ascii="Times New Roman" w:hAnsi="Times New Roman" w:cs="Times New Roman"/>
        </w:rPr>
        <w:t>The mutation free energy (</w:t>
      </w:r>
      <w:proofErr w:type="spellStart"/>
      <w:r w:rsidRPr="00F45328">
        <w:rPr>
          <w:rFonts w:ascii="Times New Roman" w:hAnsi="Times New Roman" w:cs="Times New Roman"/>
        </w:rPr>
        <w:t>ddG</w:t>
      </w:r>
      <w:proofErr w:type="spellEnd"/>
      <w:r w:rsidRPr="00F45328">
        <w:rPr>
          <w:rFonts w:ascii="Times New Roman" w:hAnsi="Times New Roman" w:cs="Times New Roman"/>
        </w:rPr>
        <w:t xml:space="preserve">) was calculated using ROSETTA3 </w:t>
      </w:r>
      <w:r w:rsidRPr="00F45328">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{"citationID":"3ium9hb1g","properties":{"formattedCitation":"(Rohl et al., 2004)","plainCitation":"(Rohl et al., 2004)"},"citationItems":[{"id":5235,"uris":["http://zotero.org/users/3155950/items/MXMWSTS3"],"uri":["http://zotero.org/users/3155950/items/MXMWSTS3"],"itemData":{"id":5235,"type":"article-journal","title":"Protein structure prediction using Rosetta","container-title":"Methods in Enzymology","page":"66-93","volume":"383","source":"PubMed","DOI":"10.1016/S0076-6879(04)83004-0","ISSN":"0076-6879","note":"PMID: 15063647","journalAbbreviation":"Meth. Enzymol.","language":"eng","author":[{"family":"Rohl","given":"Carol A."},{"family":"Strauss","given":"Charlie E. M."},{"family":"Misura","given":"Kira M. S."},{"family":"Baker","given":"David"}],"issued":{"date-parts":[["2004"]]},"PMID":"15063647"}}],"schema":"https://github.com/citation-style-language/schema/raw/master/csl-citation.json"} </w:instrText>
      </w:r>
      <w:r w:rsidRPr="00F45328">
        <w:rPr>
          <w:rFonts w:ascii="Times New Roman" w:hAnsi="Times New Roman" w:cs="Times New Roman"/>
        </w:rPr>
        <w:fldChar w:fldCharType="separate"/>
      </w:r>
      <w:r w:rsidRPr="00F45328">
        <w:rPr>
          <w:rFonts w:ascii="Times New Roman" w:hAnsi="Times New Roman" w:cs="Times New Roman"/>
        </w:rPr>
        <w:t>(Rohl et al., 2004)</w:t>
      </w:r>
      <w:r w:rsidRPr="00F45328">
        <w:rPr>
          <w:rFonts w:ascii="Times New Roman" w:hAnsi="Times New Roman" w:cs="Times New Roman"/>
        </w:rPr>
        <w:fldChar w:fldCharType="end"/>
      </w:r>
      <w:r w:rsidRPr="00F45328">
        <w:rPr>
          <w:rFonts w:ascii="Times New Roman" w:hAnsi="Times New Roman" w:cs="Times New Roman"/>
        </w:rPr>
        <w:t xml:space="preserve"> and DMUTANT </w:t>
      </w:r>
      <w:r w:rsidRPr="00F45328">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{"citationID":"cfnpone50","properties":{"formattedCitation":"(Zhou and Zhou, 2002)","plainCitation":"(Zhou and Zhou, 2002)"},"citationItems":[{"id":5244,"uris":["http://zotero.org/users/3155950/items/ZJ3J8BMX"],"uri":["http://zotero.org/users/3155950/items/ZJ3J8BMX"],"itemData":{"id":5244,"type":"article-journal","title":"Distance-scaled, finite ideal-gas reference state improves structure-derived potentials of mean force for structure selection and stability prediction","container-title":"Protein Science: A Publication of the Protein Society","page":"2714-2726","volume":"11","issue":"11","source":"PubMed","abstract":"The distance-dependent structure-derived potentials developed so far all employed a reference state that can be characterized as a residue (atom)-averaged state. Here, we establish a new reference state called the distance-scaled, finite ideal-gas reference (DFIRE) state. The reference state is used to construct a residue-specific all-atom potential of mean force from a database of 1011 nonhomologous (less than 30% homology) protein structures with resolution less than 2 A. The new all-atom potential recognizes more native proteins from 32 multiple decoy sets, and raises an average Z-score by 1.4 units more than two previously developed, residue-specific, all-atom knowledge-based potentials. When only backbone and C(beta) atoms are used in scoring, the performance of the DFIRE-based potential, although is worse than that of the all-atom version, is comparable to those of the previously developed potentials on the all-atom level. In addition, the DFIRE-based all-atom potential provides the most accurate prediction of the stabilities of 895 mutants among three knowledge-based all-atom potentials. Comparison with several physical-based potentials is made.","DOI":"10.1110/ps.0217002","ISSN":"0961-8368","note":"PMID: 12381853\nPMCID: PMC2373736","journalAbbreviation":"Protein Sci.","language":"eng","author":[{"family":"Zhou","given":"Hongyi"},{"family":"Zhou","given":"Yaoqi"}],"issued":{"date-parts":[["2002",11]]},"PMID":"12381853","PMCID":"PMC2373736"}}],"schema":"https://github.com/citation-style-language/schema/raw/master/csl-citation.json"} </w:instrText>
      </w:r>
      <w:r w:rsidRPr="00F45328">
        <w:rPr>
          <w:rFonts w:ascii="Times New Roman" w:hAnsi="Times New Roman" w:cs="Times New Roman"/>
        </w:rPr>
        <w:fldChar w:fldCharType="separate"/>
      </w:r>
      <w:r w:rsidRPr="00DC565A">
        <w:rPr>
          <w:rFonts w:ascii="Times New Roman" w:hAnsi="Times New Roman" w:cs="Times New Roman"/>
        </w:rPr>
        <w:t>(Zhou and Zhou, 2002)</w:t>
      </w:r>
      <w:r w:rsidRPr="00F45328">
        <w:rPr>
          <w:rFonts w:ascii="Times New Roman" w:hAnsi="Times New Roman" w:cs="Times New Roman"/>
        </w:rPr>
        <w:fldChar w:fldCharType="end"/>
      </w:r>
      <w:r w:rsidRPr="00F45328">
        <w:rPr>
          <w:rFonts w:ascii="Times New Roman" w:hAnsi="Times New Roman" w:cs="Times New Roman"/>
        </w:rPr>
        <w:t xml:space="preserve"> with default option, respectively. The option for ROSETTA3 is "-</w:t>
      </w:r>
      <w:proofErr w:type="spellStart"/>
      <w:r w:rsidRPr="00F45328">
        <w:rPr>
          <w:rFonts w:ascii="Times New Roman" w:hAnsi="Times New Roman" w:cs="Times New Roman"/>
        </w:rPr>
        <w:t>ddg</w:t>
      </w:r>
      <w:proofErr w:type="spellEnd"/>
      <w:r w:rsidRPr="00F45328">
        <w:rPr>
          <w:rFonts w:ascii="Times New Roman" w:hAnsi="Times New Roman" w:cs="Times New Roman"/>
        </w:rPr>
        <w:t>::iterations 20 -</w:t>
      </w:r>
      <w:proofErr w:type="spellStart"/>
      <w:r w:rsidRPr="00F45328">
        <w:rPr>
          <w:rFonts w:ascii="Times New Roman" w:hAnsi="Times New Roman" w:cs="Times New Roman"/>
        </w:rPr>
        <w:t>ddg</w:t>
      </w:r>
      <w:proofErr w:type="spellEnd"/>
      <w:r w:rsidRPr="00F45328">
        <w:rPr>
          <w:rFonts w:ascii="Times New Roman" w:hAnsi="Times New Roman" w:cs="Times New Roman"/>
        </w:rPr>
        <w:t>::</w:t>
      </w:r>
      <w:proofErr w:type="spellStart"/>
      <w:r w:rsidRPr="00F45328">
        <w:rPr>
          <w:rFonts w:ascii="Times New Roman" w:hAnsi="Times New Roman" w:cs="Times New Roman"/>
        </w:rPr>
        <w:t>dump_pdbs</w:t>
      </w:r>
      <w:proofErr w:type="spellEnd"/>
      <w:r w:rsidRPr="00F45328">
        <w:rPr>
          <w:rFonts w:ascii="Times New Roman" w:hAnsi="Times New Roman" w:cs="Times New Roman"/>
        </w:rPr>
        <w:t xml:space="preserve"> true -</w:t>
      </w:r>
      <w:proofErr w:type="spellStart"/>
      <w:r w:rsidRPr="00F45328">
        <w:rPr>
          <w:rFonts w:ascii="Times New Roman" w:hAnsi="Times New Roman" w:cs="Times New Roman"/>
        </w:rPr>
        <w:t>ddg</w:t>
      </w:r>
      <w:proofErr w:type="spellEnd"/>
      <w:r w:rsidRPr="00F45328">
        <w:rPr>
          <w:rFonts w:ascii="Times New Roman" w:hAnsi="Times New Roman" w:cs="Times New Roman"/>
        </w:rPr>
        <w:t>::</w:t>
      </w:r>
      <w:proofErr w:type="spellStart"/>
      <w:r w:rsidRPr="00F45328">
        <w:rPr>
          <w:rFonts w:ascii="Times New Roman" w:hAnsi="Times New Roman" w:cs="Times New Roman"/>
        </w:rPr>
        <w:t>local_opt_only</w:t>
      </w:r>
      <w:proofErr w:type="spellEnd"/>
      <w:r w:rsidRPr="00F45328">
        <w:rPr>
          <w:rFonts w:ascii="Times New Roman" w:hAnsi="Times New Roman" w:cs="Times New Roman"/>
        </w:rPr>
        <w:t xml:space="preserve"> true -</w:t>
      </w:r>
      <w:proofErr w:type="spellStart"/>
      <w:r w:rsidRPr="00F45328">
        <w:rPr>
          <w:rFonts w:ascii="Times New Roman" w:hAnsi="Times New Roman" w:cs="Times New Roman"/>
        </w:rPr>
        <w:t>ddg</w:t>
      </w:r>
      <w:proofErr w:type="spellEnd"/>
      <w:r w:rsidRPr="00F45328">
        <w:rPr>
          <w:rFonts w:ascii="Times New Roman" w:hAnsi="Times New Roman" w:cs="Times New Roman"/>
        </w:rPr>
        <w:t>::</w:t>
      </w:r>
      <w:proofErr w:type="spellStart"/>
      <w:r w:rsidRPr="00F45328">
        <w:rPr>
          <w:rFonts w:ascii="Times New Roman" w:hAnsi="Times New Roman" w:cs="Times New Roman"/>
        </w:rPr>
        <w:t>min_cst</w:t>
      </w:r>
      <w:proofErr w:type="spellEnd"/>
      <w:r w:rsidRPr="00F45328">
        <w:rPr>
          <w:rFonts w:ascii="Times New Roman" w:hAnsi="Times New Roman" w:cs="Times New Roman"/>
        </w:rPr>
        <w:t xml:space="preserve"> false -</w:t>
      </w:r>
      <w:proofErr w:type="spellStart"/>
      <w:r w:rsidRPr="00F45328">
        <w:rPr>
          <w:rFonts w:ascii="Times New Roman" w:hAnsi="Times New Roman" w:cs="Times New Roman"/>
        </w:rPr>
        <w:t>ddg</w:t>
      </w:r>
      <w:proofErr w:type="spellEnd"/>
      <w:r w:rsidRPr="00F45328">
        <w:rPr>
          <w:rFonts w:ascii="Times New Roman" w:hAnsi="Times New Roman" w:cs="Times New Roman"/>
        </w:rPr>
        <w:t>::mean true -</w:t>
      </w:r>
      <w:proofErr w:type="spellStart"/>
      <w:r w:rsidRPr="00F45328">
        <w:rPr>
          <w:rFonts w:ascii="Times New Roman" w:hAnsi="Times New Roman" w:cs="Times New Roman"/>
        </w:rPr>
        <w:t>ddg</w:t>
      </w:r>
      <w:proofErr w:type="spellEnd"/>
      <w:r w:rsidRPr="00F45328">
        <w:rPr>
          <w:rFonts w:ascii="Times New Roman" w:hAnsi="Times New Roman" w:cs="Times New Roman"/>
        </w:rPr>
        <w:t>::min false -</w:t>
      </w:r>
      <w:proofErr w:type="spellStart"/>
      <w:r w:rsidRPr="00F45328">
        <w:rPr>
          <w:rFonts w:ascii="Times New Roman" w:hAnsi="Times New Roman" w:cs="Times New Roman"/>
        </w:rPr>
        <w:t>ddg</w:t>
      </w:r>
      <w:proofErr w:type="spellEnd"/>
      <w:r w:rsidRPr="00F45328">
        <w:rPr>
          <w:rFonts w:ascii="Times New Roman" w:hAnsi="Times New Roman" w:cs="Times New Roman"/>
        </w:rPr>
        <w:t>::</w:t>
      </w:r>
      <w:proofErr w:type="spellStart"/>
      <w:r w:rsidRPr="00F45328">
        <w:rPr>
          <w:rFonts w:ascii="Times New Roman" w:hAnsi="Times New Roman" w:cs="Times New Roman"/>
        </w:rPr>
        <w:t>sc_min_only</w:t>
      </w:r>
      <w:proofErr w:type="spellEnd"/>
      <w:r w:rsidRPr="00F45328">
        <w:rPr>
          <w:rFonts w:ascii="Times New Roman" w:hAnsi="Times New Roman" w:cs="Times New Roman"/>
        </w:rPr>
        <w:t xml:space="preserve"> true -</w:t>
      </w:r>
      <w:proofErr w:type="spellStart"/>
      <w:r w:rsidRPr="00F45328">
        <w:rPr>
          <w:rFonts w:ascii="Times New Roman" w:hAnsi="Times New Roman" w:cs="Times New Roman"/>
        </w:rPr>
        <w:t>in:file:fullatom</w:t>
      </w:r>
      <w:proofErr w:type="spellEnd"/>
      <w:r w:rsidRPr="00F45328">
        <w:rPr>
          <w:rFonts w:ascii="Times New Roman" w:hAnsi="Times New Roman" w:cs="Times New Roman"/>
        </w:rPr>
        <w:t>".</w:t>
      </w:r>
    </w:p>
    <w:p w:rsidR="00045007" w:rsidRPr="00F45328" w:rsidRDefault="00045007" w:rsidP="001B5592">
      <w:pPr>
        <w:spacing w:line="480" w:lineRule="auto"/>
        <w:jc w:val="both"/>
        <w:rPr>
          <w:rFonts w:ascii="Times New Roman" w:hAnsi="Times New Roman" w:cs="Times New Roman"/>
        </w:rPr>
      </w:pPr>
      <w:r w:rsidRPr="004274D4">
        <w:rPr>
          <w:rFonts w:ascii="Times New Roman" w:hAnsi="Times New Roman" w:cs="Times New Roman"/>
          <w:i/>
        </w:rPr>
        <w:t>Evolution term (</w:t>
      </w:r>
      <w:proofErr w:type="spellStart"/>
      <w:r w:rsidRPr="004274D4">
        <w:rPr>
          <w:rFonts w:ascii="Times New Roman" w:hAnsi="Times New Roman" w:cs="Times New Roman"/>
          <w:i/>
        </w:rPr>
        <w:t>dPSSM</w:t>
      </w:r>
      <w:proofErr w:type="spellEnd"/>
      <w:r w:rsidRPr="004274D4">
        <w:rPr>
          <w:rFonts w:ascii="Times New Roman" w:hAnsi="Times New Roman" w:cs="Times New Roman"/>
          <w:i/>
        </w:rPr>
        <w:t>):</w:t>
      </w:r>
      <w:r w:rsidRPr="00F45328">
        <w:rPr>
          <w:rFonts w:ascii="Times New Roman" w:hAnsi="Times New Roman" w:cs="Times New Roman"/>
        </w:rPr>
        <w:t xml:space="preserve"> PSI-BLAST  </w:t>
      </w:r>
      <w:r w:rsidRPr="00F45328">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{"citationID":"ospo9tn67","properties":{"formattedCitation":"(Altschul et al., 1997)","plainCitation":"(Altschul et al., 1997)"},"citationItems":[{"id":5216,"uris":["http://zotero.org/users/3155950/items/66VIB59H"],"uri":["http://zotero.org/users/3155950/items/66VIB59H"],"itemData":{"id":5216,"type":"article-journal","title":"Gapped BLAST and PSI-BLAST: a new generation of protein database search programs","container-title":"Nucleic Acids Research","page":"3389-3402","volume":"25","issue":"17","source":"PubMed","abstract":"The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superfamily.","ISSN":"0305-1048","note":"PMID: 9254694\nPMCID: PMC146917","shortTitle":"Gapped BLAST and PSI-BLAST","journalAbbreviation":"Nucleic Acids Res.","language":"eng","author":[{"family":"Altschul","given":"S. F."},{"family":"Madden","given":"T. L."},{"family":"Schäffer","given":"A. A."},{"family":"Zhang","given":"J."},{"family":"Zhang","given":"Z."},{"family":"Miller","given":"W."},{"family":"Lipman","given":"D. J."}],"issued":{"date-parts":[["1997",9,1]]},"PMID":"9254694","PMCID":"PMC146917"}}],"schema":"https://github.com/citation-style-language/schema/raw/master/csl-citation.json"} </w:instrText>
      </w:r>
      <w:r w:rsidRPr="00F45328">
        <w:rPr>
          <w:rFonts w:ascii="Times New Roman" w:hAnsi="Times New Roman" w:cs="Times New Roman"/>
        </w:rPr>
        <w:fldChar w:fldCharType="separate"/>
      </w:r>
      <w:r w:rsidRPr="00F45328">
        <w:rPr>
          <w:rFonts w:ascii="Times New Roman" w:hAnsi="Times New Roman" w:cs="Times New Roman"/>
        </w:rPr>
        <w:t>(Altschul et al., 1997)</w:t>
      </w:r>
      <w:r w:rsidRPr="00F45328">
        <w:rPr>
          <w:rFonts w:ascii="Times New Roman" w:hAnsi="Times New Roman" w:cs="Times New Roman"/>
        </w:rPr>
        <w:fldChar w:fldCharType="end"/>
      </w:r>
      <w:r w:rsidRPr="00F45328">
        <w:rPr>
          <w:rFonts w:ascii="Times New Roman" w:hAnsi="Times New Roman" w:cs="Times New Roman"/>
        </w:rPr>
        <w:t xml:space="preserve"> was employed to obtain the PSSM for a given wild-type sequence. The evolution preference value </w:t>
      </w:r>
      <w:proofErr w:type="gramStart"/>
      <w:r w:rsidRPr="00F45328">
        <w:rPr>
          <w:rFonts w:ascii="Times New Roman" w:hAnsi="Times New Roman" w:cs="Times New Roman"/>
        </w:rPr>
        <w:t>was defined</w:t>
      </w:r>
      <w:proofErr w:type="gramEnd"/>
      <w:r w:rsidRPr="00F45328">
        <w:rPr>
          <w:rFonts w:ascii="Times New Roman" w:hAnsi="Times New Roman" w:cs="Times New Roman"/>
        </w:rPr>
        <w:t xml:space="preserve"> as the difference of the PSSM values between the wild-type residue and the mutated residue.</w:t>
      </w:r>
    </w:p>
    <w:p w:rsidR="00045007" w:rsidRPr="00E6552D" w:rsidRDefault="00045007" w:rsidP="001B5592">
      <w:pPr>
        <w:spacing w:line="480" w:lineRule="auto"/>
        <w:jc w:val="both"/>
        <w:rPr>
          <w:rFonts w:ascii="Times New Roman" w:hAnsi="Times New Roman" w:cs="Times New Roman"/>
        </w:rPr>
      </w:pPr>
      <w:r w:rsidRPr="004274D4">
        <w:rPr>
          <w:rFonts w:ascii="Times New Roman" w:hAnsi="Times New Roman" w:cs="Times New Roman"/>
          <w:i/>
        </w:rPr>
        <w:t>SVM:</w:t>
      </w:r>
      <w:r w:rsidRPr="00F45328">
        <w:rPr>
          <w:rFonts w:ascii="Times New Roman" w:hAnsi="Times New Roman" w:cs="Times New Roman"/>
        </w:rPr>
        <w:t xml:space="preserve"> The server was trained based on the above three features with 19 supplied experimental value by using </w:t>
      </w:r>
      <w:proofErr w:type="spellStart"/>
      <w:r w:rsidRPr="00F45328">
        <w:rPr>
          <w:rFonts w:ascii="Times New Roman" w:hAnsi="Times New Roman" w:cs="Times New Roman"/>
        </w:rPr>
        <w:t>libsvm</w:t>
      </w:r>
      <w:proofErr w:type="spellEnd"/>
      <w:r w:rsidRPr="00F45328">
        <w:rPr>
          <w:rFonts w:ascii="Times New Roman" w:hAnsi="Times New Roman" w:cs="Times New Roman"/>
        </w:rPr>
        <w:t xml:space="preserve"> </w:t>
      </w:r>
      <w:r w:rsidRPr="00F45328">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{"citationID":"pu22l8ccq","properties":{"formattedCitation":"(Chang and Lin, 2011)","plainCitation":"(Chang and Lin, 2011)"},"citationItems":[{"id":5224,"uris":["http://zotero.org/users/3155950/items/CNR5NXHN"],"uri":["http://zotero.org/users/3155950/items/CNR5NXHN"],"itemData":{"id":5224,"type":"article-journal","title":"LIBSVM: A Library for Support Vector Machines","container-title":"ACM Trans. Intell. Syst. Technol.","page":"27:1–27:27","volume":"2","issue":"3","source":"ACM Digital Library","abstract":"LIBSVM is a library for Support Vector Machines (SVMs). We have been actively developing this package since the year 2000. The goal is to help users to easily apply SVM to their applications. LIBSVM has gained wide popularity in machine learning and many other areas. In this article, we present all implementation details of LIBSVM. Issues such as solving SVM optimization problems theoretical convergence multiclass classification probability estimates and parameter selection are discussed in detail.","DOI":"10.1145/1961189.1961199","ISSN":"2157-6904","shortTitle":"LIBSVM","author":[{"family":"Chang","given":"Chih-Chung"},{"family":"Lin","given":"Chih-Jen"}],"issued":{"date-parts":[["2011"]],"season":"Maggio"}}}],"schema":"https://github.com/citation-style-language/schema/raw/master/csl-citation.json"} </w:instrText>
      </w:r>
      <w:r w:rsidRPr="00F45328">
        <w:rPr>
          <w:rFonts w:ascii="Times New Roman" w:hAnsi="Times New Roman" w:cs="Times New Roman"/>
        </w:rPr>
        <w:fldChar w:fldCharType="separate"/>
      </w:r>
      <w:r w:rsidRPr="00F45328">
        <w:rPr>
          <w:rFonts w:ascii="Times New Roman" w:hAnsi="Times New Roman" w:cs="Times New Roman"/>
        </w:rPr>
        <w:t>(Chang and Lin, 2011)</w:t>
      </w:r>
      <w:r w:rsidRPr="00F45328">
        <w:rPr>
          <w:rFonts w:ascii="Times New Roman" w:hAnsi="Times New Roman" w:cs="Times New Roman"/>
        </w:rPr>
        <w:fldChar w:fldCharType="end"/>
      </w:r>
      <w:r w:rsidRPr="00F45328">
        <w:rPr>
          <w:rFonts w:ascii="Times New Roman" w:hAnsi="Times New Roman" w:cs="Times New Roman"/>
        </w:rPr>
        <w:t>.</w:t>
      </w:r>
    </w:p>
    <w:p w:rsidR="00045007" w:rsidRPr="004274D4" w:rsidRDefault="00045007" w:rsidP="001B5592">
      <w:pPr>
        <w:spacing w:line="480" w:lineRule="auto"/>
        <w:jc w:val="both"/>
        <w:rPr>
          <w:rFonts w:ascii="Times New Roman" w:hAnsi="Times New Roman" w:cs="Times New Roman"/>
          <w:i/>
        </w:rPr>
      </w:pPr>
      <w:r w:rsidRPr="004274D4">
        <w:rPr>
          <w:rFonts w:ascii="Times New Roman" w:hAnsi="Times New Roman" w:cs="Times New Roman"/>
          <w:i/>
        </w:rPr>
        <w:t>Results</w:t>
      </w:r>
    </w:p>
    <w:p w:rsidR="00045007" w:rsidRDefault="00045007" w:rsidP="004274D4">
      <w:pPr>
        <w:spacing w:line="480" w:lineRule="auto"/>
        <w:jc w:val="both"/>
        <w:rPr>
          <w:rFonts w:ascii="Times New Roman" w:hAnsi="Times New Roman" w:cs="Times New Roman"/>
        </w:rPr>
      </w:pPr>
      <w:r w:rsidRPr="00E6552D">
        <w:rPr>
          <w:rFonts w:ascii="Times New Roman" w:hAnsi="Times New Roman" w:cs="Times New Roman"/>
        </w:rPr>
        <w:t xml:space="preserve">The submitted results include four groups of scaled data according to SVM output, </w:t>
      </w:r>
      <w:proofErr w:type="spellStart"/>
      <w:r w:rsidRPr="00E6552D">
        <w:rPr>
          <w:rFonts w:ascii="Times New Roman" w:hAnsi="Times New Roman" w:cs="Times New Roman"/>
        </w:rPr>
        <w:t>dPSSM</w:t>
      </w:r>
      <w:proofErr w:type="spellEnd"/>
      <w:r w:rsidRPr="00E6552D">
        <w:rPr>
          <w:rFonts w:ascii="Times New Roman" w:hAnsi="Times New Roman" w:cs="Times New Roman"/>
        </w:rPr>
        <w:t xml:space="preserve">, </w:t>
      </w:r>
      <w:proofErr w:type="spellStart"/>
      <w:r w:rsidRPr="00E6552D">
        <w:rPr>
          <w:rFonts w:ascii="Times New Roman" w:hAnsi="Times New Roman" w:cs="Times New Roman"/>
        </w:rPr>
        <w:t>ddG</w:t>
      </w:r>
      <w:proofErr w:type="spellEnd"/>
      <w:r w:rsidRPr="00E6552D">
        <w:rPr>
          <w:rFonts w:ascii="Times New Roman" w:hAnsi="Times New Roman" w:cs="Times New Roman"/>
        </w:rPr>
        <w:t xml:space="preserve"> f</w:t>
      </w:r>
      <w:r w:rsidR="005B342D">
        <w:rPr>
          <w:rFonts w:ascii="Times New Roman" w:hAnsi="Times New Roman" w:cs="Times New Roman"/>
        </w:rPr>
        <w:t>rom ROSETTA3 and DMUTANTS. The P</w:t>
      </w:r>
      <w:r w:rsidRPr="00E6552D">
        <w:rPr>
          <w:rFonts w:ascii="Times New Roman" w:hAnsi="Times New Roman" w:cs="Times New Roman"/>
        </w:rPr>
        <w:t xml:space="preserve">earson correlation coefficients on the 10 test values are 0.83, -0.45, -0.61 and 0.15, respectively. The negative signs in the middle </w:t>
      </w:r>
      <w:proofErr w:type="gramStart"/>
      <w:r w:rsidRPr="00E6552D">
        <w:rPr>
          <w:rFonts w:ascii="Times New Roman" w:hAnsi="Times New Roman" w:cs="Times New Roman"/>
        </w:rPr>
        <w:t>were caused</w:t>
      </w:r>
      <w:proofErr w:type="gramEnd"/>
      <w:r w:rsidRPr="00E6552D">
        <w:rPr>
          <w:rFonts w:ascii="Times New Roman" w:hAnsi="Times New Roman" w:cs="Times New Roman"/>
        </w:rPr>
        <w:t xml:space="preserve"> by a sign error. Further analysis shows that the correlation coefficient for SVM is 0.937 after removing one outlier point. </w:t>
      </w:r>
    </w:p>
    <w:p w:rsidR="004274D4" w:rsidRDefault="004274D4" w:rsidP="004274D4">
      <w:pPr>
        <w:spacing w:line="480" w:lineRule="auto"/>
        <w:jc w:val="both"/>
        <w:rPr>
          <w:rFonts w:ascii="Times New Roman" w:hAnsi="Times New Roman" w:cs="Times New Roman"/>
          <w:b/>
        </w:rPr>
      </w:pPr>
    </w:p>
    <w:p w:rsidR="00045007" w:rsidRDefault="00045007" w:rsidP="00BB0520">
      <w:pPr>
        <w:widowControl/>
        <w:suppressAutoHyphens w:val="0"/>
        <w:spacing w:line="480" w:lineRule="auto"/>
        <w:jc w:val="both"/>
        <w:rPr>
          <w:rFonts w:ascii="Times New Roman" w:hAnsi="Times New Roman" w:cs="Times New Roman"/>
          <w:b/>
        </w:rPr>
      </w:pPr>
      <w:proofErr w:type="spellStart"/>
      <w:r>
        <w:rPr>
          <w:rFonts w:ascii="Times New Roman" w:hAnsi="Times New Roman" w:cs="Times New Roman"/>
          <w:b/>
        </w:rPr>
        <w:t>Vihinen</w:t>
      </w:r>
      <w:proofErr w:type="spellEnd"/>
      <w:r w:rsidRPr="00BA33DB">
        <w:rPr>
          <w:rFonts w:ascii="Times New Roman" w:hAnsi="Times New Roman" w:cs="Times New Roman"/>
          <w:b/>
        </w:rPr>
        <w:t xml:space="preserve"> laboratory</w:t>
      </w:r>
      <w:r>
        <w:rPr>
          <w:rFonts w:ascii="Times New Roman" w:hAnsi="Times New Roman" w:cs="Times New Roman"/>
          <w:b/>
        </w:rPr>
        <w:t xml:space="preserve"> </w:t>
      </w:r>
      <w:r w:rsidR="005B342D">
        <w:rPr>
          <w:rFonts w:ascii="Times New Roman" w:hAnsi="Times New Roman" w:cs="Times New Roman"/>
          <w:b/>
        </w:rPr>
        <w:t>(submissions</w:t>
      </w:r>
      <w:r w:rsidRPr="00D42729">
        <w:rPr>
          <w:rFonts w:ascii="Times New Roman" w:hAnsi="Times New Roman" w:cs="Times New Roman"/>
          <w:b/>
        </w:rPr>
        <w:t xml:space="preserve"> </w:t>
      </w:r>
      <w:r>
        <w:rPr>
          <w:rFonts w:ascii="Times New Roman" w:hAnsi="Times New Roman" w:cs="Times New Roman"/>
          <w:b/>
        </w:rPr>
        <w:t>6</w:t>
      </w:r>
      <w:r w:rsidRPr="00D42729">
        <w:rPr>
          <w:rFonts w:ascii="Times New Roman" w:hAnsi="Times New Roman" w:cs="Times New Roman"/>
          <w:b/>
        </w:rPr>
        <w:t>,</w:t>
      </w:r>
      <w:r w:rsidR="005B342D">
        <w:rPr>
          <w:rFonts w:ascii="Times New Roman" w:hAnsi="Times New Roman" w:cs="Times New Roman"/>
          <w:b/>
        </w:rPr>
        <w:t xml:space="preserve"> </w:t>
      </w:r>
      <w:r w:rsidRPr="00D42729">
        <w:rPr>
          <w:rFonts w:ascii="Times New Roman" w:hAnsi="Times New Roman" w:cs="Times New Roman"/>
          <w:b/>
        </w:rPr>
        <w:t>1</w:t>
      </w:r>
      <w:r>
        <w:rPr>
          <w:rFonts w:ascii="Times New Roman" w:hAnsi="Times New Roman" w:cs="Times New Roman"/>
          <w:b/>
        </w:rPr>
        <w:t>3</w:t>
      </w:r>
      <w:r w:rsidRPr="00D42729">
        <w:rPr>
          <w:rFonts w:ascii="Times New Roman" w:hAnsi="Times New Roman" w:cs="Times New Roman"/>
          <w:b/>
        </w:rPr>
        <w:t>)</w:t>
      </w:r>
    </w:p>
    <w:p w:rsidR="00045007" w:rsidRPr="008006E3" w:rsidRDefault="00045007" w:rsidP="001B5592">
      <w:pPr>
        <w:widowControl/>
        <w:suppressAutoHyphens w:val="0"/>
        <w:spacing w:after="200" w:line="480" w:lineRule="auto"/>
        <w:jc w:val="both"/>
        <w:rPr>
          <w:rFonts w:ascii="Times New Roman" w:hAnsi="Times New Roman" w:cs="Times New Roman"/>
        </w:rPr>
      </w:pPr>
      <w:r w:rsidRPr="008006E3">
        <w:rPr>
          <w:rFonts w:ascii="Times New Roman" w:hAnsi="Times New Roman" w:cs="Times New Roman"/>
        </w:rPr>
        <w:t xml:space="preserve">The group used two methods for the predictions, PON-P </w:t>
      </w:r>
      <w:r w:rsidRPr="008006E3">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{"citationID":"a3k2r352t","properties":{"formattedCitation":"(Olatubosun et al., 2012)","plainCitation":"(Olatubosun et al., 2012)"},"citationItems":[{"id":5238,"uris":["http://zotero.org/users/3155950/items/QZJTPKUN"],"uri":["http://zotero.org/users/3155950/items/QZJTPKUN"],"itemData":{"id":5238,"type":"article-journal","title":"PON-P: integrated predictor for pathogenicity of missense variants","container-title":"Human Mutation","page":"1166-1174","volume":"33","issue":"8","source":"PubMed","abstract":"High-throughput sequencing data generation demands the development of methods for interpreting the effects of genomic variants. Numerous computational methods have been developed to assess the impact of variations because experimental methods are unable to cope with both the speed and volume of data generation. To harness the strength of currently available predictors, the Pathogenic-or-Not-Pipeline (PON-P) integrates five predictors to predict the probability that nonsynonymous variations affect protein function and may consequently be disease related. Random forest methodology-based PON-P shows consistently improved performance in cross-validation tests and on independent test sets, providing ternary classification and statistical reliability estimate of results. Applied to missense variants in a melanoma cancer cell line, PON-P predicts variants in 17 genes to affect protein function. Previous studies implicate nine of these genes in the pathogenesis of various forms of cancer. PON-P may thus be used as a first step in screening and prioritizing variants to determine deleterious ones for further experimentation.","DOI":"10.1002/humu.22102","ISSN":"1098-1004","note":"PMID: 22505138","shortTitle":"PON-P","journalAbbreviation":"Hum. Mutat.","language":"eng","author":[{"family":"Olatubosun","given":"Ayodeji"},{"family":"Väliaho","given":"Jouni"},{"family":"Härkönen","given":"Jani"},{"family":"Thusberg","given":"Janita"},{"family":"Vihinen","given":"Mauno"}],"issued":{"date-parts":[["2012",8]]},"PMID":"22505138"}}],"schema":"https://github.com/citation-style-language/schema/raw/master/csl-citation.json"} </w:instrText>
      </w:r>
      <w:r w:rsidRPr="008006E3">
        <w:rPr>
          <w:rFonts w:ascii="Times New Roman" w:hAnsi="Times New Roman" w:cs="Times New Roman"/>
        </w:rPr>
        <w:fldChar w:fldCharType="separate"/>
      </w:r>
      <w:r w:rsidRPr="008006E3">
        <w:rPr>
          <w:rFonts w:ascii="Times New Roman" w:hAnsi="Times New Roman" w:cs="Times New Roman"/>
        </w:rPr>
        <w:t>(Olatubosun et al., 2012)</w:t>
      </w:r>
      <w:r w:rsidRPr="008006E3">
        <w:rPr>
          <w:rFonts w:ascii="Times New Roman" w:hAnsi="Times New Roman" w:cs="Times New Roman"/>
        </w:rPr>
        <w:fldChar w:fldCharType="end"/>
      </w:r>
      <w:r w:rsidRPr="008006E3">
        <w:rPr>
          <w:rFonts w:ascii="Times New Roman" w:hAnsi="Times New Roman" w:cs="Times New Roman"/>
        </w:rPr>
        <w:t xml:space="preserve"> and PON-P2  </w:t>
      </w:r>
      <w:r w:rsidRPr="008006E3">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{"citationID":"10gvebsfic","properties":{"formattedCitation":"(Niroula et al., 2015)","plainCitation":"(Niroula et al., 2015)"},"citationItems":[{"id":5241,"uris":["http://zotero.org/users/3155950/items/TI65RN7W"],"uri":["http://zotero.org/users/3155950/items/TI65RN7W"],"itemData":{"id":5241,"type":"article-journal","title":"PON-P2: Prediction Method for Fast and Reliable Identification of Harmful Variants","container-title":"PLOS ONE","page":"e0117380","volume":"10","issue":"2","source":"PLoS Journals","abstract":"More reliable and faster prediction methods are needed to interpret enormous amounts of data generated by sequencing and genome projects. We have developed a new computational tool, PON-P2, for classification of amino acid substitutions in human proteins. The method is a machine learning-based classifier and groups the variants into pathogenic, neutral and unknown classes, on the basis of random forest probability score. PON-P2 is trained using pathogenic and neutral variants obtained from VariBench, a database for benchmark variation datasets. PON-P2 utilizes information about evolutionary conservation of sequences, physical and biochemical properties of amino acids, GO annotations and if available, functional annotations of variation sites. Extensive feature selection was performed to identify 8 informative features among altogether 622 features. PON-P2 consistently showed superior performance in comparison to existing state-of-the-art tools. In 10-fold cross-validation test, its accuracy and MCC are 0.90 and 0.80, respectively, and in the independent test, they are 0.86 and 0.71, respectively. The coverage of PON-P2 is 61.7% in the 10-fold cross-validation and 62.1% in the test dataset. PON-P2 is a powerful tool for screening harmful variants and for ranking and prioritizing experimental characterization. It is very fast making it capable of analyzing large variant datasets. PON-P2 is freely available at  http://structure.bmc.lu.se/PON-P2/ .","DOI":"10.1371/journal.pone.0117380","ISSN":"1932-6203","shortTitle":"PON-P2","journalAbbreviation":"PLOS ONE","author":[{"family":"Niroula","given":"Abhishek"},{"family":"Urolagin","given":"Siddhaling"},{"family":"Vihinen","given":"Mauno"}],"issued":{"date-parts":[["2015",2,3]]}}}],"schema":"https://github.com/citation-style-language/schema/raw/master/csl-citation.json"} </w:instrText>
      </w:r>
      <w:r w:rsidRPr="008006E3">
        <w:rPr>
          <w:rFonts w:ascii="Times New Roman" w:hAnsi="Times New Roman" w:cs="Times New Roman"/>
        </w:rPr>
        <w:fldChar w:fldCharType="separate"/>
      </w:r>
      <w:r w:rsidRPr="00DC565A">
        <w:rPr>
          <w:rFonts w:ascii="Times New Roman" w:hAnsi="Times New Roman" w:cs="Times New Roman"/>
        </w:rPr>
        <w:t>(Niroula et al., 2015)</w:t>
      </w:r>
      <w:r w:rsidRPr="008006E3">
        <w:rPr>
          <w:rFonts w:ascii="Times New Roman" w:hAnsi="Times New Roman" w:cs="Times New Roman"/>
        </w:rPr>
        <w:fldChar w:fldCharType="end"/>
      </w:r>
      <w:r w:rsidRPr="008006E3">
        <w:rPr>
          <w:rFonts w:ascii="Times New Roman" w:hAnsi="Times New Roman" w:cs="Times New Roman"/>
        </w:rPr>
        <w:t xml:space="preserve">. PON-P is a random forest-based </w:t>
      </w:r>
      <w:proofErr w:type="spellStart"/>
      <w:r w:rsidRPr="008006E3">
        <w:rPr>
          <w:rFonts w:ascii="Times New Roman" w:hAnsi="Times New Roman" w:cs="Times New Roman"/>
        </w:rPr>
        <w:t>metapredictor</w:t>
      </w:r>
      <w:proofErr w:type="spellEnd"/>
      <w:r w:rsidRPr="008006E3">
        <w:rPr>
          <w:rFonts w:ascii="Times New Roman" w:hAnsi="Times New Roman" w:cs="Times New Roman"/>
        </w:rPr>
        <w:t xml:space="preserve"> that </w:t>
      </w:r>
      <w:r w:rsidR="005B342D" w:rsidRPr="008006E3">
        <w:rPr>
          <w:rFonts w:ascii="Times New Roman" w:hAnsi="Times New Roman" w:cs="Times New Roman"/>
        </w:rPr>
        <w:t>utilizes</w:t>
      </w:r>
      <w:r w:rsidRPr="008006E3">
        <w:rPr>
          <w:rFonts w:ascii="Times New Roman" w:hAnsi="Times New Roman" w:cs="Times New Roman"/>
        </w:rPr>
        <w:t xml:space="preserve"> results from four tolerance predictors (PhD-SNP, SIFT, PolyPhen-2, and SNAP) and a stability effect predictor (I-Mutant). PON-P was trained and tested on </w:t>
      </w:r>
      <w:proofErr w:type="spellStart"/>
      <w:r w:rsidRPr="008006E3">
        <w:rPr>
          <w:rFonts w:ascii="Times New Roman" w:hAnsi="Times New Roman" w:cs="Times New Roman"/>
        </w:rPr>
        <w:t>VariBench</w:t>
      </w:r>
      <w:proofErr w:type="spellEnd"/>
      <w:r w:rsidRPr="008006E3">
        <w:rPr>
          <w:rFonts w:ascii="Times New Roman" w:hAnsi="Times New Roman" w:cs="Times New Roman"/>
        </w:rPr>
        <w:t xml:space="preserve"> datasets </w:t>
      </w:r>
      <w:r w:rsidRPr="008006E3">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{"citationID":"2l2r7qoce9","properties":{"formattedCitation":"(Sasidharan Nair and Vihinen, 2013)","plainCitation":"(Sasidharan Nair and Vihinen, 2013)"},"citationItems":[{"id":5223,"uris":["http://zotero.org/users/3155950/items/CAXPQMNX"],"uri":["http://zotero.org/users/3155950/items/CAXPQMNX"],"itemData":{"id":5223,"type":"article-journal","title":"VariBench: a benchmark database for variations","container-title":"Human Mutation","page":"42-49","volume":"34","issue":"1","source":"PubMed","abstract":"Several computational methods have been developed for predicting the effects of rapidly expanding variation data. Comparison of the performance of tools has been very difficult as the methods have been trained and tested with different datasets. Until now, unbiased and representative benchmark datasets have been missing. We have developed a benchmark database suite, VariBench, to overcome this problem. VariBench contains datasets of experimentally verified high-quality variation data carefully chosen from literature and relevant databases. It provides the mapping of variation position to different levels (protein, RNA and DNA sequences, protein three-dimensional structure), along with identifier mapping to relevant databases. VariBench contains the first benchmark datasets for variation effect analysis, a field which is of high importance and where many developments are currently going on. VariBench datasets can be used, for example, to test performance of prediction tools as well as to train novel machine learning-based tools. New datasets will be included and the community is encouraged to submit high-quality datasets to the service. VariBench is freely available at http://structure.bmc.lu.se/VariBench.","DOI":"10.1002/humu.22204","ISSN":"1098-1004","note":"PMID: 22903802","shortTitle":"VariBench","journalAbbreviation":"Hum. Mutat.","language":"eng","author":[{"family":"Sasidharan Nair","given":"Preethy"},{"family":"Vihinen","given":"Mauno"}],"issued":{"date-parts":[["2013",1]]},"PMID":"22903802"}}],"schema":"https://github.com/citation-style-language/schema/raw/master/csl-citation.json"} </w:instrText>
      </w:r>
      <w:r w:rsidRPr="008006E3">
        <w:rPr>
          <w:rFonts w:ascii="Times New Roman" w:hAnsi="Times New Roman" w:cs="Times New Roman"/>
        </w:rPr>
        <w:fldChar w:fldCharType="separate"/>
      </w:r>
      <w:r w:rsidRPr="008006E3">
        <w:rPr>
          <w:rFonts w:ascii="Times New Roman" w:hAnsi="Times New Roman" w:cs="Times New Roman"/>
        </w:rPr>
        <w:t>(Sasidharan Nair and Vihinen, 2013)</w:t>
      </w:r>
      <w:r w:rsidRPr="008006E3">
        <w:rPr>
          <w:rFonts w:ascii="Times New Roman" w:hAnsi="Times New Roman" w:cs="Times New Roman"/>
        </w:rPr>
        <w:fldChar w:fldCharType="end"/>
      </w:r>
      <w:r w:rsidRPr="008006E3">
        <w:rPr>
          <w:rFonts w:ascii="Times New Roman" w:hAnsi="Times New Roman" w:cs="Times New Roman"/>
        </w:rPr>
        <w:t xml:space="preserve"> according to the established guidelines (</w:t>
      </w:r>
      <w:proofErr w:type="spellStart"/>
      <w:r w:rsidRPr="008006E3">
        <w:rPr>
          <w:rFonts w:ascii="Times New Roman" w:hAnsi="Times New Roman" w:cs="Times New Roman"/>
        </w:rPr>
        <w:t>Vihinen</w:t>
      </w:r>
      <w:proofErr w:type="spellEnd"/>
      <w:r w:rsidRPr="008006E3">
        <w:rPr>
          <w:rFonts w:ascii="Times New Roman" w:hAnsi="Times New Roman" w:cs="Times New Roman"/>
        </w:rPr>
        <w:t xml:space="preserve"> 2012, 2013). By bootstrapping, totally 200 random forest (RF) predictors were trained. Reliability score was computed based on the results of the RF predictors and the variants with a high reliability score were classified as pathogenic or neutral and those with a lower reliability as unknown.</w:t>
      </w:r>
    </w:p>
    <w:p w:rsidR="00045007" w:rsidRDefault="00045007" w:rsidP="001B5592">
      <w:pPr>
        <w:widowControl/>
        <w:suppressAutoHyphens w:val="0"/>
        <w:spacing w:after="200" w:line="480" w:lineRule="auto"/>
        <w:jc w:val="both"/>
        <w:rPr>
          <w:rFonts w:ascii="Times New Roman" w:hAnsi="Times New Roman" w:cs="Times New Roman"/>
        </w:rPr>
      </w:pPr>
      <w:r w:rsidRPr="008006E3">
        <w:rPr>
          <w:rFonts w:ascii="Times New Roman" w:hAnsi="Times New Roman" w:cs="Times New Roman"/>
        </w:rPr>
        <w:t xml:space="preserve">PON-P2 </w:t>
      </w:r>
      <w:r w:rsidRPr="008006E3">
        <w:rPr>
          <w:rFonts w:ascii="Times New Roman" w:hAnsi="Times New Roman" w:cs="Times New Roman"/>
        </w:rPr>
        <w:fldChar w:fldCharType="begin"/>
      </w:r>
      <w:r w:rsidR="00BF6B9A">
        <w:rPr>
          <w:rFonts w:ascii="Times New Roman" w:hAnsi="Times New Roman" w:cs="Times New Roman"/>
        </w:rPr>
        <w:instrText xml:space="preserve"> ADDIN ZOTERO_ITEM CSL_CITATION {"citationID":"9n9oaijap","properties":{"formattedCitation":"(Niroula et al., 2015)","plainCitation":"(Niroula et al., 2015)"},"citationItems":[{"id":5241,"uris":["http://zotero.org/users/3155950/items/TI65RN7W"],"uri":["http://zotero.org/users/3155950/items/TI65RN7W"],"itemData":{"id":5241,"type":"article-journal","title":"PON-P2: Prediction Method for Fast and Reliable Identification of Harmful Variants","container-title":"PLOS ONE","page":"e0117380","volume":"10","issue":"2","source":"PLoS Journals","abstract":"More reliable and faster prediction methods are needed to interpret enormous amounts of data generated by sequencing and genome projects. We have developed a new computational tool, PON-P2, for classification of amino acid substitutions in human proteins. The method is a machine learning-based classifier and groups the variants into pathogenic, neutral and unknown classes, on the basis of random forest probability score. PON-P2 is trained using pathogenic and neutral variants obtained from VariBench, a database for benchmark variation datasets. PON-P2 utilizes information about evolutionary conservation of sequences, physical and biochemical properties of amino acids, GO annotations and if available, functional annotations of variation sites. Extensive feature selection was performed to identify 8 informative features among altogether 622 features. PON-P2 consistently showed superior performance in comparison to existing state-of-the-art tools. In 10-fold cross-validation test, its accuracy and MCC are 0.90 and 0.80, respectively, and in the independent test, they are 0.86 and 0.71, respectively. The coverage of PON-P2 is 61.7% in the 10-fold cross-validation and 62.1% in the test dataset. PON-P2 is a powerful tool for screening harmful variants and for ranking and prioritizing experimental characterization. It is very fast making it capable of analyzing large variant datasets. PON-P2 is freely available at  http://structure.bmc.lu.se/PON-P2/ .","DOI":"10.1371/journal.pone.0117380","ISSN":"1932-6203","shortTitle":"PON-P2","journalAbbreviation":"PLOS ONE","author":[{"family":"Niroula","given":"Abhishek"},{"family":"Urolagin","given":"Siddhaling"},{"family":"Vihinen","given":"Mauno"}],"issued":{"date-parts":[["2015",2,3]]}}}],"schema":"https://github.com/citation-style-language/schema/raw/master/csl-citation.json"} </w:instrText>
      </w:r>
      <w:r w:rsidRPr="008006E3">
        <w:rPr>
          <w:rFonts w:ascii="Times New Roman" w:hAnsi="Times New Roman" w:cs="Times New Roman"/>
        </w:rPr>
        <w:fldChar w:fldCharType="separate"/>
      </w:r>
      <w:r w:rsidRPr="008006E3">
        <w:rPr>
          <w:rFonts w:ascii="Times New Roman" w:hAnsi="Times New Roman" w:cs="Times New Roman"/>
        </w:rPr>
        <w:t>(Niroula et al., 2015)</w:t>
      </w:r>
      <w:r w:rsidRPr="008006E3">
        <w:rPr>
          <w:rFonts w:ascii="Times New Roman" w:hAnsi="Times New Roman" w:cs="Times New Roman"/>
        </w:rPr>
        <w:fldChar w:fldCharType="end"/>
      </w:r>
      <w:r w:rsidRPr="008006E3">
        <w:rPr>
          <w:rFonts w:ascii="Times New Roman" w:hAnsi="Times New Roman" w:cs="Times New Roman"/>
        </w:rPr>
        <w:t xml:space="preserve"> was developed to avoid the bottlenecks caused by the third party software that drastically reduced the speed of PON-P. PON-P2 does not utilize data from any other predictors, instead has features describing evolutionary conservation, biochemical properties of amino acids, Gene Ontology (GO) annotations and functional and structural annotations of variant sites. The method </w:t>
      </w:r>
      <w:proofErr w:type="gramStart"/>
      <w:r w:rsidRPr="008006E3">
        <w:rPr>
          <w:rFonts w:ascii="Times New Roman" w:hAnsi="Times New Roman" w:cs="Times New Roman"/>
        </w:rPr>
        <w:t xml:space="preserve">was trained and tested with datasets from </w:t>
      </w:r>
      <w:proofErr w:type="spellStart"/>
      <w:r w:rsidRPr="008006E3">
        <w:rPr>
          <w:rFonts w:ascii="Times New Roman" w:hAnsi="Times New Roman" w:cs="Times New Roman"/>
        </w:rPr>
        <w:t>VariBench</w:t>
      </w:r>
      <w:proofErr w:type="spellEnd"/>
      <w:proofErr w:type="gramEnd"/>
      <w:r w:rsidRPr="008006E3">
        <w:rPr>
          <w:rFonts w:ascii="Times New Roman" w:hAnsi="Times New Roman" w:cs="Times New Roman"/>
        </w:rPr>
        <w:t xml:space="preserve">. </w:t>
      </w:r>
      <w:proofErr w:type="gramStart"/>
      <w:r w:rsidRPr="008006E3">
        <w:rPr>
          <w:rFonts w:ascii="Times New Roman" w:hAnsi="Times New Roman" w:cs="Times New Roman"/>
        </w:rPr>
        <w:t>200</w:t>
      </w:r>
      <w:proofErr w:type="gramEnd"/>
      <w:r w:rsidRPr="008006E3">
        <w:rPr>
          <w:rFonts w:ascii="Times New Roman" w:hAnsi="Times New Roman" w:cs="Times New Roman"/>
        </w:rPr>
        <w:t xml:space="preserve"> RF predictors were trained using bootstrap training data and the method classifies the variants into pathogenic, neutral and unknown, similar to PON-P. A probabilistic approach </w:t>
      </w:r>
      <w:proofErr w:type="gramStart"/>
      <w:r w:rsidRPr="008006E3">
        <w:rPr>
          <w:rFonts w:ascii="Times New Roman" w:hAnsi="Times New Roman" w:cs="Times New Roman"/>
        </w:rPr>
        <w:t>was used</w:t>
      </w:r>
      <w:proofErr w:type="gramEnd"/>
      <w:r w:rsidRPr="008006E3">
        <w:rPr>
          <w:rFonts w:ascii="Times New Roman" w:hAnsi="Times New Roman" w:cs="Times New Roman"/>
        </w:rPr>
        <w:t xml:space="preserve"> to integrate information for functional and structural annotations of the variant site together with the RF predictions to obtain the final prediction.</w:t>
      </w:r>
    </w:p>
    <w:p w:rsidR="00D9518B" w:rsidRDefault="00D9518B" w:rsidP="00A9142A">
      <w:pPr>
        <w:spacing w:line="480" w:lineRule="auto"/>
        <w:jc w:val="both"/>
        <w:rPr>
          <w:rFonts w:ascii="Times New Roman" w:hAnsi="Times New Roman" w:cs="Times New Roman"/>
          <w:b/>
          <w:color w:val="FF0000"/>
          <w:sz w:val="30"/>
          <w:szCs w:val="30"/>
        </w:rPr>
      </w:pPr>
    </w:p>
    <w:p w:rsidR="00D9518B" w:rsidRDefault="00D9518B" w:rsidP="00A9142A">
      <w:pPr>
        <w:spacing w:line="480" w:lineRule="auto"/>
        <w:jc w:val="both"/>
        <w:rPr>
          <w:rFonts w:ascii="Times New Roman" w:hAnsi="Times New Roman" w:cs="Times New Roman"/>
          <w:b/>
          <w:color w:val="FF0000"/>
          <w:sz w:val="30"/>
          <w:szCs w:val="30"/>
        </w:rPr>
      </w:pPr>
    </w:p>
    <w:p w:rsidR="00D9518B" w:rsidRDefault="00D9518B" w:rsidP="00A9142A">
      <w:pPr>
        <w:spacing w:line="480" w:lineRule="auto"/>
        <w:jc w:val="both"/>
        <w:rPr>
          <w:rFonts w:ascii="Times New Roman" w:hAnsi="Times New Roman" w:cs="Times New Roman"/>
          <w:b/>
          <w:color w:val="FF0000"/>
          <w:sz w:val="30"/>
          <w:szCs w:val="30"/>
        </w:rPr>
      </w:pPr>
    </w:p>
    <w:p w:rsidR="00D9518B" w:rsidRDefault="00D9518B" w:rsidP="00A9142A">
      <w:pPr>
        <w:spacing w:line="480" w:lineRule="auto"/>
        <w:jc w:val="both"/>
        <w:rPr>
          <w:rFonts w:ascii="Times New Roman" w:hAnsi="Times New Roman" w:cs="Times New Roman"/>
          <w:b/>
          <w:color w:val="FF0000"/>
          <w:sz w:val="30"/>
          <w:szCs w:val="30"/>
        </w:rPr>
      </w:pPr>
    </w:p>
    <w:p w:rsidR="00D9518B" w:rsidRDefault="00D9518B" w:rsidP="00A9142A">
      <w:pPr>
        <w:spacing w:line="480" w:lineRule="auto"/>
        <w:jc w:val="both"/>
        <w:rPr>
          <w:rFonts w:ascii="Times New Roman" w:hAnsi="Times New Roman" w:cs="Times New Roman"/>
          <w:b/>
          <w:color w:val="FF0000"/>
          <w:sz w:val="30"/>
          <w:szCs w:val="30"/>
        </w:rPr>
      </w:pPr>
    </w:p>
    <w:p w:rsidR="00D9518B" w:rsidRPr="004274D4" w:rsidRDefault="004274D4" w:rsidP="00A9142A">
      <w:pPr>
        <w:spacing w:line="480" w:lineRule="auto"/>
        <w:jc w:val="both"/>
        <w:rPr>
          <w:rFonts w:ascii="Times New Roman" w:hAnsi="Times New Roman" w:cs="Times New Roman"/>
          <w:b/>
          <w:sz w:val="30"/>
          <w:szCs w:val="30"/>
        </w:rPr>
      </w:pPr>
      <w:r w:rsidRPr="004274D4">
        <w:rPr>
          <w:rFonts w:ascii="Times New Roman" w:hAnsi="Times New Roman" w:cs="Times New Roman"/>
          <w:b/>
          <w:sz w:val="30"/>
          <w:szCs w:val="30"/>
        </w:rPr>
        <w:lastRenderedPageBreak/>
        <w:t>Supplementary Figures</w:t>
      </w:r>
    </w:p>
    <w:p w:rsidR="00D9518B" w:rsidRPr="004274D4" w:rsidRDefault="002A6FD8" w:rsidP="00A9142A">
      <w:pPr>
        <w:spacing w:line="480" w:lineRule="auto"/>
        <w:jc w:val="both"/>
        <w:rPr>
          <w:rFonts w:ascii="Times New Roman" w:hAnsi="Times New Roman" w:cs="Times New Roman"/>
          <w:b/>
        </w:rPr>
      </w:pPr>
      <w:r>
        <w:rPr>
          <w:noProof/>
          <w:lang w:val="it-IT" w:eastAsia="it-IT" w:bidi="ar-SA"/>
        </w:rPr>
        <w:drawing>
          <wp:inline distT="0" distB="0" distL="0" distR="0" wp14:anchorId="0AE699FB" wp14:editId="6132ABA7">
            <wp:extent cx="5708701" cy="57600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 b="31048"/>
                    <a:stretch/>
                  </pic:blipFill>
                  <pic:spPr bwMode="auto">
                    <a:xfrm>
                      <a:off x="0" y="0"/>
                      <a:ext cx="5766434" cy="5818251"/>
                    </a:xfrm>
                    <a:prstGeom prst="rect">
                      <a:avLst/>
                    </a:prstGeom>
                    <a:ln>
                      <a:noFill/>
                    </a:ln>
                    <a:extLst>
                      <a:ext uri="{53640926-AAD7-44D8-BBD7-CCE9431645EC}">
                        <a14:shadowObscured xmlns:a14="http://schemas.microsoft.com/office/drawing/2010/main"/>
                      </a:ext>
                    </a:extLst>
                  </pic:spPr>
                </pic:pic>
              </a:graphicData>
            </a:graphic>
          </wp:inline>
        </w:drawing>
      </w:r>
    </w:p>
    <w:p w:rsidR="002A6FD8" w:rsidRPr="00E540CE" w:rsidRDefault="002A6FD8" w:rsidP="002A6FD8">
      <w:pPr>
        <w:spacing w:line="360" w:lineRule="auto"/>
        <w:jc w:val="both"/>
        <w:rPr>
          <w:rFonts w:ascii="Times New Roman" w:hAnsi="Times New Roman" w:cs="Times New Roman"/>
        </w:rPr>
      </w:pPr>
      <w:r>
        <w:rPr>
          <w:rFonts w:ascii="Times New Roman" w:hAnsi="Times New Roman" w:cs="Times New Roman"/>
          <w:b/>
        </w:rPr>
        <w:t>Supplementary Figure</w:t>
      </w:r>
      <w:r w:rsidRPr="00E540CE">
        <w:rPr>
          <w:rFonts w:ascii="Times New Roman" w:hAnsi="Times New Roman" w:cs="Times New Roman"/>
          <w:b/>
        </w:rPr>
        <w:t xml:space="preserve"> 1. </w:t>
      </w:r>
      <w:r>
        <w:rPr>
          <w:rFonts w:ascii="Times New Roman" w:hAnsi="Times New Roman" w:cs="Times New Roman"/>
          <w:b/>
        </w:rPr>
        <w:t>Predicted vs. experimental values for all 22 submissions</w:t>
      </w:r>
      <w:r w:rsidRPr="00E540CE">
        <w:rPr>
          <w:rFonts w:ascii="Times New Roman" w:hAnsi="Times New Roman" w:cs="Times New Roman"/>
          <w:b/>
        </w:rPr>
        <w:t xml:space="preserve">. </w:t>
      </w:r>
      <w:r>
        <w:rPr>
          <w:rFonts w:ascii="Times New Roman" w:hAnsi="Times New Roman" w:cs="Times New Roman"/>
        </w:rPr>
        <w:t xml:space="preserve">The predicted value (y-axis) </w:t>
      </w:r>
      <w:proofErr w:type="gramStart"/>
      <w:r>
        <w:rPr>
          <w:rFonts w:ascii="Times New Roman" w:hAnsi="Times New Roman" w:cs="Times New Roman"/>
        </w:rPr>
        <w:t>is plotted</w:t>
      </w:r>
      <w:proofErr w:type="gramEnd"/>
      <w:r>
        <w:rPr>
          <w:rFonts w:ascii="Times New Roman" w:hAnsi="Times New Roman" w:cs="Times New Roman"/>
        </w:rPr>
        <w:t xml:space="preserve"> against the experimental value (x-axis) for all variants in each of the 22 submissions.</w:t>
      </w:r>
    </w:p>
    <w:p w:rsidR="00D9518B" w:rsidRPr="004274D4" w:rsidRDefault="00D9518B" w:rsidP="00A9142A">
      <w:pPr>
        <w:spacing w:line="480" w:lineRule="auto"/>
        <w:jc w:val="both"/>
        <w:rPr>
          <w:rFonts w:ascii="Times New Roman" w:hAnsi="Times New Roman" w:cs="Times New Roman"/>
          <w:b/>
        </w:rPr>
      </w:pPr>
    </w:p>
    <w:p w:rsidR="00D9518B" w:rsidRPr="004274D4" w:rsidRDefault="00D9518B" w:rsidP="00A9142A">
      <w:pPr>
        <w:spacing w:line="480" w:lineRule="auto"/>
        <w:jc w:val="both"/>
        <w:rPr>
          <w:rFonts w:ascii="Times New Roman" w:hAnsi="Times New Roman" w:cs="Times New Roman"/>
          <w:b/>
        </w:rPr>
      </w:pPr>
    </w:p>
    <w:p w:rsidR="002A6FD8" w:rsidRDefault="002A6FD8">
      <w:pPr>
        <w:widowControl/>
        <w:suppressAutoHyphens w:val="0"/>
        <w:spacing w:after="160" w:line="259" w:lineRule="auto"/>
        <w:rPr>
          <w:rFonts w:ascii="Times New Roman" w:hAnsi="Times New Roman" w:cs="Times New Roman"/>
          <w:b/>
          <w:sz w:val="32"/>
          <w:szCs w:val="30"/>
        </w:rPr>
      </w:pPr>
      <w:r>
        <w:rPr>
          <w:rFonts w:ascii="Times New Roman" w:hAnsi="Times New Roman" w:cs="Times New Roman"/>
          <w:b/>
          <w:sz w:val="32"/>
          <w:szCs w:val="30"/>
        </w:rPr>
        <w:br w:type="page"/>
      </w:r>
    </w:p>
    <w:p w:rsidR="0020617F" w:rsidRDefault="00A9142A" w:rsidP="0020617F">
      <w:pPr>
        <w:spacing w:line="480" w:lineRule="auto"/>
        <w:jc w:val="both"/>
        <w:rPr>
          <w:rFonts w:ascii="Times New Roman" w:hAnsi="Times New Roman" w:cs="Times New Roman"/>
          <w:b/>
          <w:sz w:val="32"/>
          <w:szCs w:val="30"/>
        </w:rPr>
      </w:pPr>
      <w:r w:rsidRPr="0020617F">
        <w:rPr>
          <w:rFonts w:ascii="Times New Roman" w:hAnsi="Times New Roman" w:cs="Times New Roman"/>
          <w:b/>
          <w:sz w:val="32"/>
          <w:szCs w:val="30"/>
        </w:rPr>
        <w:lastRenderedPageBreak/>
        <w:t>Supplementary Tables</w:t>
      </w:r>
    </w:p>
    <w:p w:rsidR="0020617F" w:rsidRPr="00757B51" w:rsidRDefault="0020617F" w:rsidP="0020617F">
      <w:pPr>
        <w:spacing w:line="480" w:lineRule="auto"/>
        <w:jc w:val="both"/>
        <w:rPr>
          <w:rFonts w:ascii="Times New Roman" w:hAnsi="Times New Roman" w:cs="Times New Roman"/>
          <w:b/>
          <w:szCs w:val="30"/>
        </w:rPr>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9"/>
        <w:gridCol w:w="2404"/>
        <w:gridCol w:w="2369"/>
      </w:tblGrid>
      <w:tr w:rsidR="0020617F" w:rsidRPr="000E41F3" w:rsidTr="00757B51">
        <w:trPr>
          <w:trHeight w:val="546"/>
          <w:jc w:val="center"/>
        </w:trPr>
        <w:tc>
          <w:tcPr>
            <w:tcW w:w="2709" w:type="dxa"/>
            <w:tcBorders>
              <w:left w:val="nil"/>
              <w:bottom w:val="single" w:sz="4" w:space="0" w:color="auto"/>
              <w:right w:val="nil"/>
            </w:tcBorders>
            <w:shd w:val="clear" w:color="auto" w:fill="auto"/>
            <w:noWrap/>
            <w:vAlign w:val="center"/>
          </w:tcPr>
          <w:p w:rsidR="0020617F" w:rsidRPr="005D4069" w:rsidRDefault="0020617F" w:rsidP="00757B51">
            <w:pPr>
              <w:widowControl/>
              <w:suppressAutoHyphens w:val="0"/>
              <w:spacing w:after="120"/>
              <w:jc w:val="center"/>
              <w:rPr>
                <w:rFonts w:ascii="Times New Roman" w:eastAsia="Times New Roman" w:hAnsi="Times New Roman" w:cs="Times New Roman"/>
                <w:b/>
                <w:lang w:eastAsia="it-IT" w:bidi="ar-SA"/>
              </w:rPr>
            </w:pPr>
            <w:r>
              <w:rPr>
                <w:rFonts w:ascii="Times New Roman" w:hAnsi="Times New Roman" w:cs="Times New Roman"/>
                <w:b/>
              </w:rPr>
              <w:t>Nucleotide variant</w:t>
            </w:r>
          </w:p>
        </w:tc>
        <w:tc>
          <w:tcPr>
            <w:tcW w:w="2404" w:type="dxa"/>
            <w:tcBorders>
              <w:left w:val="nil"/>
              <w:bottom w:val="single" w:sz="4" w:space="0" w:color="auto"/>
              <w:right w:val="nil"/>
            </w:tcBorders>
            <w:shd w:val="clear" w:color="auto" w:fill="auto"/>
            <w:noWrap/>
            <w:vAlign w:val="center"/>
          </w:tcPr>
          <w:p w:rsidR="0020617F" w:rsidRPr="005D4069" w:rsidRDefault="0020617F" w:rsidP="00757B51">
            <w:pPr>
              <w:spacing w:after="120"/>
              <w:jc w:val="center"/>
              <w:rPr>
                <w:rFonts w:ascii="Times New Roman" w:hAnsi="Times New Roman" w:cs="Times New Roman"/>
                <w:b/>
              </w:rPr>
            </w:pPr>
            <w:r>
              <w:rPr>
                <w:rFonts w:ascii="Times New Roman" w:hAnsi="Times New Roman" w:cs="Times New Roman"/>
                <w:b/>
              </w:rPr>
              <w:t>Protein variant</w:t>
            </w:r>
          </w:p>
        </w:tc>
        <w:tc>
          <w:tcPr>
            <w:tcW w:w="2369" w:type="dxa"/>
            <w:tcBorders>
              <w:left w:val="nil"/>
              <w:bottom w:val="single" w:sz="4" w:space="0" w:color="auto"/>
              <w:right w:val="nil"/>
            </w:tcBorders>
            <w:vAlign w:val="center"/>
          </w:tcPr>
          <w:p w:rsidR="0020617F" w:rsidRPr="005D4069" w:rsidRDefault="0020617F" w:rsidP="00757B51">
            <w:pPr>
              <w:spacing w:after="120"/>
              <w:jc w:val="center"/>
              <w:rPr>
                <w:rFonts w:ascii="Times New Roman" w:hAnsi="Times New Roman" w:cs="Times New Roman"/>
                <w:b/>
              </w:rPr>
            </w:pPr>
            <w:r>
              <w:rPr>
                <w:rFonts w:ascii="Times New Roman" w:hAnsi="Times New Roman" w:cs="Times New Roman"/>
                <w:b/>
              </w:rPr>
              <w:t>Proliferation rate</w:t>
            </w:r>
          </w:p>
        </w:tc>
      </w:tr>
      <w:tr w:rsidR="0020617F" w:rsidRPr="000E41F3" w:rsidTr="00757B51">
        <w:trPr>
          <w:trHeight w:val="315"/>
          <w:jc w:val="center"/>
        </w:trPr>
        <w:tc>
          <w:tcPr>
            <w:tcW w:w="2709" w:type="dxa"/>
            <w:tcBorders>
              <w:top w:val="single" w:sz="4" w:space="0" w:color="auto"/>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c.68G&gt;A</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Gly23Asp</w:t>
            </w:r>
          </w:p>
        </w:tc>
        <w:tc>
          <w:tcPr>
            <w:tcW w:w="2369" w:type="dxa"/>
            <w:tcBorders>
              <w:top w:val="single" w:sz="4" w:space="0" w:color="auto"/>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1.00</w:t>
            </w:r>
          </w:p>
        </w:tc>
      </w:tr>
      <w:tr w:rsidR="0020617F" w:rsidRPr="000E41F3"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c.71G&gt;A</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Arg24Gln</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0.50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c.104G&gt;C</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Gly35Ala</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0.80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c.104G&gt;T</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Gly35Val</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0.90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c.170C&gt;T</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Ala57Val</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0.50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c.179C&gt;T</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Ala60Val</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0.90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c.178_179delinsCG</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Ala60Arg</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1.00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858FF" w:rsidRDefault="0020617F" w:rsidP="00757B51">
            <w:pPr>
              <w:jc w:val="center"/>
              <w:rPr>
                <w:rFonts w:ascii="Times New Roman" w:hAnsi="Times New Roman" w:cs="Times New Roman"/>
                <w:sz w:val="22"/>
                <w:szCs w:val="22"/>
              </w:rPr>
            </w:pPr>
            <w:r w:rsidRPr="00E858FF">
              <w:rPr>
                <w:rFonts w:ascii="Times New Roman" w:hAnsi="Times New Roman" w:cs="Times New Roman"/>
                <w:sz w:val="22"/>
                <w:szCs w:val="22"/>
              </w:rPr>
              <w:t>c.192_194dup</w:t>
            </w:r>
          </w:p>
        </w:tc>
        <w:tc>
          <w:tcPr>
            <w:tcW w:w="2404" w:type="dxa"/>
            <w:tcBorders>
              <w:top w:val="nil"/>
              <w:left w:val="nil"/>
              <w:bottom w:val="nil"/>
              <w:right w:val="nil"/>
            </w:tcBorders>
            <w:shd w:val="clear" w:color="auto" w:fill="auto"/>
            <w:noWrap/>
            <w:vAlign w:val="center"/>
          </w:tcPr>
          <w:p w:rsidR="0020617F" w:rsidRPr="00E858FF" w:rsidRDefault="0020617F" w:rsidP="00757B51">
            <w:pPr>
              <w:jc w:val="center"/>
              <w:rPr>
                <w:rFonts w:ascii="Times New Roman" w:hAnsi="Times New Roman" w:cs="Times New Roman"/>
                <w:sz w:val="22"/>
                <w:szCs w:val="22"/>
              </w:rPr>
            </w:pPr>
            <w:r w:rsidRPr="00E858FF">
              <w:rPr>
                <w:rFonts w:ascii="Times New Roman" w:hAnsi="Times New Roman" w:cs="Times New Roman"/>
                <w:sz w:val="22"/>
                <w:szCs w:val="22"/>
              </w:rPr>
              <w:t>p.Leu65dup</w:t>
            </w:r>
          </w:p>
        </w:tc>
        <w:tc>
          <w:tcPr>
            <w:tcW w:w="2369" w:type="dxa"/>
            <w:tcBorders>
              <w:top w:val="nil"/>
              <w:left w:val="nil"/>
              <w:bottom w:val="nil"/>
              <w:right w:val="nil"/>
            </w:tcBorders>
            <w:vAlign w:val="center"/>
          </w:tcPr>
          <w:p w:rsidR="0020617F" w:rsidRPr="00E858FF" w:rsidRDefault="0020617F" w:rsidP="00757B51">
            <w:pPr>
              <w:jc w:val="center"/>
              <w:rPr>
                <w:rFonts w:ascii="Times New Roman" w:hAnsi="Times New Roman" w:cs="Times New Roman"/>
                <w:sz w:val="22"/>
                <w:szCs w:val="22"/>
              </w:rPr>
            </w:pPr>
            <w:r w:rsidRPr="00E858FF">
              <w:rPr>
                <w:rFonts w:ascii="Times New Roman" w:hAnsi="Times New Roman" w:cs="Times New Roman"/>
                <w:sz w:val="22"/>
                <w:szCs w:val="22"/>
              </w:rPr>
              <w:t>1.00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c.199G&gt;C</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Gly67Arg</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0.60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c.206A&gt;G</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Glu69Gly</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0.70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c.220G&gt;T</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Asp74Tyr</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1.00</w:t>
            </w:r>
          </w:p>
        </w:tc>
      </w:tr>
      <w:tr w:rsidR="0020617F" w:rsidRPr="0071271A"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c.229A&gt;C</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Thr77Pro</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1.00</w:t>
            </w:r>
          </w:p>
        </w:tc>
      </w:tr>
      <w:tr w:rsidR="0020617F" w:rsidRPr="00307AD2" w:rsidTr="00757B51">
        <w:trPr>
          <w:trHeight w:val="315"/>
          <w:jc w:val="center"/>
        </w:trPr>
        <w:tc>
          <w:tcPr>
            <w:tcW w:w="2709"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c.239G&gt;C</w:t>
            </w:r>
          </w:p>
        </w:tc>
        <w:tc>
          <w:tcPr>
            <w:tcW w:w="2404" w:type="dxa"/>
            <w:tcBorders>
              <w:top w:val="nil"/>
              <w:left w:val="nil"/>
              <w:bottom w:val="nil"/>
              <w:right w:val="nil"/>
            </w:tcBorders>
            <w:shd w:val="clear" w:color="auto" w:fill="auto"/>
            <w:noWrap/>
            <w:vAlign w:val="center"/>
          </w:tcPr>
          <w:p w:rsidR="0020617F" w:rsidRPr="00E61CF9" w:rsidRDefault="0020617F" w:rsidP="00757B51">
            <w:pPr>
              <w:jc w:val="center"/>
              <w:rPr>
                <w:rFonts w:ascii="Times New Roman" w:hAnsi="Times New Roman" w:cs="Times New Roman"/>
                <w:sz w:val="22"/>
                <w:szCs w:val="22"/>
              </w:rPr>
            </w:pPr>
            <w:r>
              <w:rPr>
                <w:rFonts w:ascii="Times New Roman" w:hAnsi="Times New Roman" w:cs="Times New Roman"/>
                <w:sz w:val="22"/>
                <w:szCs w:val="22"/>
              </w:rPr>
              <w:t>p.</w:t>
            </w:r>
            <w:r w:rsidRPr="00E61CF9">
              <w:rPr>
                <w:rFonts w:ascii="Times New Roman" w:hAnsi="Times New Roman" w:cs="Times New Roman"/>
                <w:sz w:val="22"/>
                <w:szCs w:val="22"/>
              </w:rPr>
              <w:t>Arg80Pro</w:t>
            </w:r>
          </w:p>
        </w:tc>
        <w:tc>
          <w:tcPr>
            <w:tcW w:w="2369" w:type="dxa"/>
            <w:tcBorders>
              <w:top w:val="nil"/>
              <w:left w:val="nil"/>
              <w:bottom w:val="nil"/>
              <w:right w:val="nil"/>
            </w:tcBorders>
            <w:vAlign w:val="center"/>
          </w:tcPr>
          <w:p w:rsidR="0020617F" w:rsidRPr="00E61CF9" w:rsidRDefault="0020617F" w:rsidP="00757B51">
            <w:pPr>
              <w:jc w:val="center"/>
              <w:rPr>
                <w:rFonts w:ascii="Times New Roman" w:hAnsi="Times New Roman" w:cs="Times New Roman"/>
                <w:sz w:val="22"/>
                <w:szCs w:val="22"/>
              </w:rPr>
            </w:pPr>
            <w:r w:rsidRPr="00E61CF9">
              <w:rPr>
                <w:rFonts w:ascii="Times New Roman" w:hAnsi="Times New Roman" w:cs="Times New Roman"/>
                <w:sz w:val="22"/>
                <w:szCs w:val="22"/>
              </w:rPr>
              <w:t>0.90</w:t>
            </w:r>
          </w:p>
        </w:tc>
      </w:tr>
      <w:tr w:rsidR="0020617F" w:rsidRPr="00E540CE" w:rsidTr="00757B51">
        <w:trPr>
          <w:trHeight w:val="315"/>
          <w:jc w:val="center"/>
        </w:trPr>
        <w:tc>
          <w:tcPr>
            <w:tcW w:w="2709"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c.241C&gt;A</w:t>
            </w:r>
          </w:p>
        </w:tc>
        <w:tc>
          <w:tcPr>
            <w:tcW w:w="2404"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p.Pro81Thr</w:t>
            </w:r>
          </w:p>
        </w:tc>
        <w:tc>
          <w:tcPr>
            <w:tcW w:w="2369" w:type="dxa"/>
            <w:tcBorders>
              <w:top w:val="nil"/>
              <w:left w:val="nil"/>
              <w:bottom w:val="nil"/>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1.00</w:t>
            </w:r>
          </w:p>
        </w:tc>
      </w:tr>
      <w:tr w:rsidR="0020617F" w:rsidRPr="00E540CE" w:rsidTr="00757B51">
        <w:trPr>
          <w:trHeight w:val="315"/>
          <w:jc w:val="center"/>
        </w:trPr>
        <w:tc>
          <w:tcPr>
            <w:tcW w:w="2709"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c.259C&gt;T</w:t>
            </w:r>
          </w:p>
        </w:tc>
        <w:tc>
          <w:tcPr>
            <w:tcW w:w="2404"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p.Arg87Trp</w:t>
            </w:r>
          </w:p>
        </w:tc>
        <w:tc>
          <w:tcPr>
            <w:tcW w:w="2369" w:type="dxa"/>
            <w:tcBorders>
              <w:top w:val="nil"/>
              <w:left w:val="nil"/>
              <w:bottom w:val="nil"/>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0.70</w:t>
            </w:r>
          </w:p>
        </w:tc>
      </w:tr>
      <w:tr w:rsidR="0020617F" w:rsidRPr="00E540CE" w:rsidTr="00757B51">
        <w:trPr>
          <w:trHeight w:val="315"/>
          <w:jc w:val="center"/>
        </w:trPr>
        <w:tc>
          <w:tcPr>
            <w:tcW w:w="2709"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c.290T&gt;G</w:t>
            </w:r>
          </w:p>
        </w:tc>
        <w:tc>
          <w:tcPr>
            <w:tcW w:w="2404"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p.Leu97Arg</w:t>
            </w:r>
          </w:p>
        </w:tc>
        <w:tc>
          <w:tcPr>
            <w:tcW w:w="2369" w:type="dxa"/>
            <w:tcBorders>
              <w:top w:val="nil"/>
              <w:left w:val="nil"/>
              <w:bottom w:val="nil"/>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1.00</w:t>
            </w:r>
          </w:p>
        </w:tc>
      </w:tr>
      <w:tr w:rsidR="0020617F" w:rsidRPr="00E540CE" w:rsidTr="00757B51">
        <w:trPr>
          <w:trHeight w:val="315"/>
          <w:jc w:val="center"/>
        </w:trPr>
        <w:tc>
          <w:tcPr>
            <w:tcW w:w="2709"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c.296G&gt;C</w:t>
            </w:r>
          </w:p>
        </w:tc>
        <w:tc>
          <w:tcPr>
            <w:tcW w:w="2404"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p.Arg99Pro</w:t>
            </w:r>
          </w:p>
        </w:tc>
        <w:tc>
          <w:tcPr>
            <w:tcW w:w="2369" w:type="dxa"/>
            <w:tcBorders>
              <w:top w:val="nil"/>
              <w:left w:val="nil"/>
              <w:bottom w:val="nil"/>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1.00</w:t>
            </w:r>
          </w:p>
        </w:tc>
      </w:tr>
      <w:tr w:rsidR="0020617F" w:rsidRPr="00E540CE" w:rsidTr="00757B51">
        <w:trPr>
          <w:trHeight w:val="315"/>
          <w:jc w:val="center"/>
        </w:trPr>
        <w:tc>
          <w:tcPr>
            <w:tcW w:w="2709"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c.301G&gt;T</w:t>
            </w:r>
          </w:p>
        </w:tc>
        <w:tc>
          <w:tcPr>
            <w:tcW w:w="2404" w:type="dxa"/>
            <w:tcBorders>
              <w:top w:val="nil"/>
              <w:left w:val="nil"/>
              <w:bottom w:val="nil"/>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p.Gly101Trp</w:t>
            </w:r>
          </w:p>
        </w:tc>
        <w:tc>
          <w:tcPr>
            <w:tcW w:w="2369" w:type="dxa"/>
            <w:tcBorders>
              <w:top w:val="nil"/>
              <w:left w:val="nil"/>
              <w:bottom w:val="nil"/>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1.00</w:t>
            </w:r>
          </w:p>
        </w:tc>
      </w:tr>
      <w:tr w:rsidR="0020617F" w:rsidRPr="00E540CE" w:rsidTr="00757B51">
        <w:trPr>
          <w:trHeight w:val="315"/>
          <w:jc w:val="center"/>
        </w:trPr>
        <w:tc>
          <w:tcPr>
            <w:tcW w:w="2709" w:type="dxa"/>
            <w:tcBorders>
              <w:top w:val="nil"/>
              <w:left w:val="nil"/>
              <w:bottom w:val="single" w:sz="4" w:space="0" w:color="auto"/>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c.340C&gt;T</w:t>
            </w:r>
          </w:p>
        </w:tc>
        <w:tc>
          <w:tcPr>
            <w:tcW w:w="2404" w:type="dxa"/>
            <w:tcBorders>
              <w:top w:val="nil"/>
              <w:left w:val="nil"/>
              <w:bottom w:val="single" w:sz="4" w:space="0" w:color="auto"/>
              <w:right w:val="nil"/>
            </w:tcBorders>
            <w:shd w:val="clear" w:color="auto" w:fill="auto"/>
            <w:noWrap/>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p.Pro114Ser</w:t>
            </w:r>
          </w:p>
        </w:tc>
        <w:tc>
          <w:tcPr>
            <w:tcW w:w="2369" w:type="dxa"/>
            <w:tcBorders>
              <w:top w:val="nil"/>
              <w:left w:val="nil"/>
              <w:bottom w:val="single" w:sz="4" w:space="0" w:color="auto"/>
              <w:right w:val="nil"/>
            </w:tcBorders>
            <w:vAlign w:val="center"/>
          </w:tcPr>
          <w:p w:rsidR="0020617F" w:rsidRPr="00E540CE" w:rsidRDefault="0020617F" w:rsidP="00757B51">
            <w:pPr>
              <w:jc w:val="center"/>
              <w:rPr>
                <w:rFonts w:ascii="Times New Roman" w:hAnsi="Times New Roman" w:cs="Times New Roman"/>
                <w:sz w:val="22"/>
                <w:szCs w:val="22"/>
              </w:rPr>
            </w:pPr>
            <w:r w:rsidRPr="00E540CE">
              <w:rPr>
                <w:rFonts w:ascii="Times New Roman" w:hAnsi="Times New Roman" w:cs="Times New Roman"/>
                <w:sz w:val="22"/>
                <w:szCs w:val="22"/>
              </w:rPr>
              <w:t>0.90</w:t>
            </w:r>
          </w:p>
        </w:tc>
      </w:tr>
    </w:tbl>
    <w:p w:rsidR="0020617F" w:rsidRPr="00E540CE" w:rsidRDefault="0020617F" w:rsidP="00AB5D34">
      <w:pPr>
        <w:spacing w:line="360" w:lineRule="auto"/>
        <w:jc w:val="both"/>
      </w:pPr>
    </w:p>
    <w:p w:rsidR="0020617F" w:rsidRPr="00E540CE" w:rsidRDefault="0020617F" w:rsidP="00AB5D34">
      <w:pPr>
        <w:spacing w:line="360" w:lineRule="auto"/>
        <w:jc w:val="both"/>
        <w:rPr>
          <w:rFonts w:ascii="Times New Roman" w:hAnsi="Times New Roman" w:cs="Times New Roman"/>
        </w:rPr>
      </w:pPr>
      <w:r>
        <w:rPr>
          <w:rFonts w:ascii="Times New Roman" w:hAnsi="Times New Roman" w:cs="Times New Roman"/>
          <w:b/>
        </w:rPr>
        <w:t xml:space="preserve">Supplementary </w:t>
      </w:r>
      <w:r w:rsidRPr="00E540CE">
        <w:rPr>
          <w:rFonts w:ascii="Times New Roman" w:hAnsi="Times New Roman" w:cs="Times New Roman"/>
          <w:b/>
        </w:rPr>
        <w:t xml:space="preserve">Table 1. </w:t>
      </w:r>
      <w:proofErr w:type="gramStart"/>
      <w:r w:rsidR="00655760" w:rsidRPr="00655760">
        <w:rPr>
          <w:rFonts w:ascii="Times New Roman" w:hAnsi="Times New Roman" w:cs="Times New Roman"/>
          <w:b/>
        </w:rPr>
        <w:t>p16INK4a</w:t>
      </w:r>
      <w:proofErr w:type="gramEnd"/>
      <w:r w:rsidR="00655760" w:rsidRPr="00655760">
        <w:rPr>
          <w:rFonts w:ascii="Times New Roman" w:hAnsi="Times New Roman" w:cs="Times New Roman"/>
          <w:b/>
        </w:rPr>
        <w:t xml:space="preserve"> </w:t>
      </w:r>
      <w:r w:rsidRPr="00E540CE">
        <w:rPr>
          <w:rFonts w:ascii="Times New Roman" w:hAnsi="Times New Roman" w:cs="Times New Roman"/>
          <w:b/>
        </w:rPr>
        <w:t xml:space="preserve">proliferation rate training set. </w:t>
      </w:r>
      <w:proofErr w:type="gramStart"/>
      <w:r>
        <w:rPr>
          <w:rFonts w:ascii="Times New Roman" w:hAnsi="Times New Roman" w:cs="Times New Roman"/>
        </w:rPr>
        <w:t>V</w:t>
      </w:r>
      <w:r w:rsidRPr="00E540CE">
        <w:rPr>
          <w:rFonts w:ascii="Times New Roman" w:hAnsi="Times New Roman" w:cs="Times New Roman"/>
        </w:rPr>
        <w:t xml:space="preserve">ariants </w:t>
      </w:r>
      <w:r>
        <w:rPr>
          <w:rFonts w:ascii="Times New Roman" w:hAnsi="Times New Roman" w:cs="Times New Roman"/>
        </w:rPr>
        <w:t xml:space="preserve">are shown by their nucleotide and protein identifier, followed by the </w:t>
      </w:r>
      <w:r w:rsidRPr="00E540CE">
        <w:rPr>
          <w:rFonts w:ascii="Times New Roman" w:hAnsi="Times New Roman" w:cs="Times New Roman"/>
        </w:rPr>
        <w:t>relative proliferation level</w:t>
      </w:r>
      <w:proofErr w:type="gramEnd"/>
      <w:r w:rsidRPr="00E540CE">
        <w:rPr>
          <w:rFonts w:ascii="Times New Roman" w:hAnsi="Times New Roman" w:cs="Times New Roman"/>
        </w:rPr>
        <w:t>. Proliferation leve</w:t>
      </w:r>
      <w:r>
        <w:rPr>
          <w:rFonts w:ascii="Times New Roman" w:hAnsi="Times New Roman" w:cs="Times New Roman"/>
        </w:rPr>
        <w:t>ls were rescaled between 0.5 (wildtype</w:t>
      </w:r>
      <w:r w:rsidRPr="00E540CE">
        <w:rPr>
          <w:rFonts w:ascii="Times New Roman" w:hAnsi="Times New Roman" w:cs="Times New Roman"/>
        </w:rPr>
        <w:t xml:space="preserve">-like) and </w:t>
      </w:r>
      <w:proofErr w:type="gramStart"/>
      <w:r w:rsidRPr="00E540CE">
        <w:rPr>
          <w:rFonts w:ascii="Times New Roman" w:hAnsi="Times New Roman" w:cs="Times New Roman"/>
        </w:rPr>
        <w:t>1</w:t>
      </w:r>
      <w:proofErr w:type="gramEnd"/>
      <w:r w:rsidRPr="00E540CE">
        <w:rPr>
          <w:rFonts w:ascii="Times New Roman" w:hAnsi="Times New Roman" w:cs="Times New Roman"/>
        </w:rPr>
        <w:t xml:space="preserve"> (tumor-like). </w:t>
      </w:r>
      <w:r>
        <w:rPr>
          <w:rFonts w:ascii="Times New Roman" w:hAnsi="Times New Roman" w:cs="Times New Roman"/>
        </w:rPr>
        <w:t xml:space="preserve">The </w:t>
      </w:r>
      <w:r>
        <w:rPr>
          <w:rFonts w:ascii="Times New Roman" w:eastAsia="Times New Roman" w:hAnsi="Times New Roman" w:cs="Times New Roman"/>
          <w:lang w:eastAsia="it-IT" w:bidi="ar-SA"/>
        </w:rPr>
        <w:t>s</w:t>
      </w:r>
      <w:r w:rsidRPr="00E540CE">
        <w:rPr>
          <w:rFonts w:ascii="Times New Roman" w:eastAsia="Times New Roman" w:hAnsi="Times New Roman" w:cs="Times New Roman"/>
          <w:lang w:eastAsia="it-IT" w:bidi="ar-SA"/>
        </w:rPr>
        <w:t xml:space="preserve">tandard deviation in </w:t>
      </w:r>
      <w:r>
        <w:rPr>
          <w:rFonts w:ascii="Times New Roman" w:eastAsia="Times New Roman" w:hAnsi="Times New Roman" w:cs="Times New Roman"/>
          <w:lang w:eastAsia="it-IT" w:bidi="ar-SA"/>
        </w:rPr>
        <w:t xml:space="preserve">this training </w:t>
      </w:r>
      <w:r w:rsidRPr="00E540CE">
        <w:rPr>
          <w:rFonts w:ascii="Times New Roman" w:eastAsia="Times New Roman" w:hAnsi="Times New Roman" w:cs="Times New Roman"/>
          <w:lang w:eastAsia="it-IT" w:bidi="ar-SA"/>
        </w:rPr>
        <w:t>set is in the range 0.05 - 0.</w:t>
      </w:r>
      <w:r>
        <w:rPr>
          <w:rFonts w:ascii="Times New Roman" w:eastAsia="Times New Roman" w:hAnsi="Times New Roman" w:cs="Times New Roman"/>
          <w:lang w:eastAsia="it-IT" w:bidi="ar-SA"/>
        </w:rPr>
        <w:t>15 and not shown.</w:t>
      </w:r>
    </w:p>
    <w:p w:rsidR="0020617F" w:rsidRPr="00E540CE" w:rsidRDefault="0020617F" w:rsidP="00AB5D34">
      <w:pPr>
        <w:spacing w:line="360" w:lineRule="auto"/>
        <w:jc w:val="both"/>
        <w:rPr>
          <w:rFonts w:ascii="Times New Roman" w:hAnsi="Times New Roman" w:cs="Times New Roman"/>
        </w:rPr>
      </w:pPr>
    </w:p>
    <w:p w:rsidR="0020617F" w:rsidRDefault="0020617F" w:rsidP="00AB5D34">
      <w:pPr>
        <w:spacing w:line="360" w:lineRule="auto"/>
        <w:jc w:val="both"/>
        <w:rPr>
          <w:rFonts w:ascii="Times New Roman" w:hAnsi="Times New Roman" w:cs="Times New Roman"/>
          <w:b/>
          <w:szCs w:val="30"/>
        </w:rPr>
      </w:pPr>
    </w:p>
    <w:p w:rsidR="0020617F" w:rsidRDefault="0020617F" w:rsidP="00A9142A">
      <w:pPr>
        <w:spacing w:line="480" w:lineRule="auto"/>
        <w:jc w:val="both"/>
        <w:rPr>
          <w:rFonts w:ascii="Times New Roman" w:hAnsi="Times New Roman" w:cs="Times New Roman"/>
          <w:b/>
          <w:szCs w:val="30"/>
        </w:rPr>
      </w:pPr>
    </w:p>
    <w:p w:rsidR="0020617F" w:rsidRDefault="0020617F" w:rsidP="00A9142A">
      <w:pPr>
        <w:spacing w:line="480" w:lineRule="auto"/>
        <w:jc w:val="both"/>
        <w:rPr>
          <w:rFonts w:ascii="Times New Roman" w:hAnsi="Times New Roman" w:cs="Times New Roman"/>
          <w:b/>
          <w:szCs w:val="30"/>
        </w:rPr>
      </w:pPr>
    </w:p>
    <w:p w:rsidR="0020617F" w:rsidRDefault="0020617F" w:rsidP="00A9142A">
      <w:pPr>
        <w:spacing w:line="480" w:lineRule="auto"/>
        <w:jc w:val="both"/>
        <w:rPr>
          <w:rFonts w:ascii="Times New Roman" w:hAnsi="Times New Roman" w:cs="Times New Roman"/>
          <w:b/>
          <w:szCs w:val="30"/>
        </w:rPr>
      </w:pPr>
    </w:p>
    <w:p w:rsidR="0020617F" w:rsidRDefault="0020617F" w:rsidP="00A9142A">
      <w:pPr>
        <w:spacing w:line="480" w:lineRule="auto"/>
        <w:jc w:val="both"/>
        <w:rPr>
          <w:rFonts w:ascii="Times New Roman" w:hAnsi="Times New Roman" w:cs="Times New Roman"/>
          <w:b/>
          <w:szCs w:val="30"/>
        </w:rPr>
      </w:pPr>
    </w:p>
    <w:p w:rsidR="0020617F" w:rsidRDefault="0020617F" w:rsidP="00A9142A">
      <w:pPr>
        <w:spacing w:line="480" w:lineRule="auto"/>
        <w:jc w:val="both"/>
        <w:rPr>
          <w:rFonts w:ascii="Times New Roman" w:hAnsi="Times New Roman" w:cs="Times New Roman"/>
          <w:b/>
          <w:szCs w:val="30"/>
        </w:rPr>
      </w:pPr>
    </w:p>
    <w:p w:rsidR="0020617F" w:rsidRPr="0020617F" w:rsidRDefault="0020617F" w:rsidP="00A9142A">
      <w:pPr>
        <w:spacing w:line="480" w:lineRule="auto"/>
        <w:jc w:val="both"/>
        <w:rPr>
          <w:rFonts w:ascii="Times New Roman" w:hAnsi="Times New Roman" w:cs="Times New Roman"/>
          <w:b/>
          <w:szCs w:val="30"/>
        </w:rPr>
      </w:pPr>
    </w:p>
    <w:tbl>
      <w:tblPr>
        <w:tblStyle w:val="Grigliatabella"/>
        <w:tblW w:w="9634" w:type="dxa"/>
        <w:tblLook w:val="04A0" w:firstRow="1" w:lastRow="0" w:firstColumn="1" w:lastColumn="0" w:noHBand="0" w:noVBand="1"/>
      </w:tblPr>
      <w:tblGrid>
        <w:gridCol w:w="873"/>
        <w:gridCol w:w="875"/>
        <w:gridCol w:w="875"/>
        <w:gridCol w:w="875"/>
        <w:gridCol w:w="875"/>
        <w:gridCol w:w="876"/>
        <w:gridCol w:w="876"/>
        <w:gridCol w:w="883"/>
        <w:gridCol w:w="876"/>
        <w:gridCol w:w="875"/>
        <w:gridCol w:w="875"/>
      </w:tblGrid>
      <w:tr w:rsidR="000D4EB2" w:rsidTr="00F746A6">
        <w:tc>
          <w:tcPr>
            <w:tcW w:w="873" w:type="dxa"/>
            <w:tcBorders>
              <w:left w:val="single" w:sz="4" w:space="0" w:color="FFFFFF" w:themeColor="background1"/>
              <w:right w:val="single" w:sz="4" w:space="0" w:color="auto"/>
            </w:tcBorders>
            <w:vAlign w:val="center"/>
          </w:tcPr>
          <w:p w:rsidR="000D4EB2" w:rsidRPr="00BB0520" w:rsidRDefault="000D4EB2" w:rsidP="00F746A6">
            <w:pPr>
              <w:jc w:val="center"/>
              <w:rPr>
                <w:rFonts w:ascii="Times New Roman" w:hAnsi="Times New Roman" w:cs="Times New Roman"/>
                <w:lang w:val="en-US"/>
              </w:rPr>
            </w:pPr>
          </w:p>
        </w:tc>
        <w:tc>
          <w:tcPr>
            <w:tcW w:w="875" w:type="dxa"/>
            <w:tcBorders>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G23S</w:t>
            </w:r>
          </w:p>
        </w:tc>
        <w:tc>
          <w:tcPr>
            <w:tcW w:w="875" w:type="dxa"/>
            <w:tcBorders>
              <w:left w:val="single" w:sz="4" w:space="0" w:color="FFFFFF" w:themeColor="background1"/>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G23R</w:t>
            </w:r>
          </w:p>
        </w:tc>
        <w:tc>
          <w:tcPr>
            <w:tcW w:w="875" w:type="dxa"/>
            <w:tcBorders>
              <w:left w:val="single" w:sz="4" w:space="0" w:color="FFFFFF" w:themeColor="background1"/>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G23C</w:t>
            </w:r>
          </w:p>
        </w:tc>
        <w:tc>
          <w:tcPr>
            <w:tcW w:w="875" w:type="dxa"/>
            <w:tcBorders>
              <w:left w:val="single" w:sz="4" w:space="0" w:color="FFFFFF" w:themeColor="background1"/>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G23A</w:t>
            </w:r>
          </w:p>
        </w:tc>
        <w:tc>
          <w:tcPr>
            <w:tcW w:w="876" w:type="dxa"/>
            <w:tcBorders>
              <w:left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G23V</w:t>
            </w:r>
          </w:p>
        </w:tc>
        <w:tc>
          <w:tcPr>
            <w:tcW w:w="876" w:type="dxa"/>
            <w:tcBorders>
              <w:left w:val="single" w:sz="4" w:space="0" w:color="auto"/>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G35R</w:t>
            </w:r>
          </w:p>
        </w:tc>
        <w:tc>
          <w:tcPr>
            <w:tcW w:w="883" w:type="dxa"/>
            <w:tcBorders>
              <w:left w:val="single" w:sz="4" w:space="0" w:color="FFFFFF" w:themeColor="background1"/>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G35W</w:t>
            </w:r>
          </w:p>
        </w:tc>
        <w:tc>
          <w:tcPr>
            <w:tcW w:w="876" w:type="dxa"/>
            <w:tcBorders>
              <w:left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G35E</w:t>
            </w:r>
          </w:p>
        </w:tc>
        <w:tc>
          <w:tcPr>
            <w:tcW w:w="875" w:type="dxa"/>
            <w:tcBorders>
              <w:left w:val="single" w:sz="4" w:space="0" w:color="auto"/>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L65P</w:t>
            </w:r>
          </w:p>
        </w:tc>
        <w:tc>
          <w:tcPr>
            <w:tcW w:w="875" w:type="dxa"/>
            <w:tcBorders>
              <w:left w:val="single" w:sz="4" w:space="0" w:color="auto"/>
              <w:right w:val="single" w:sz="4" w:space="0" w:color="FFFFFF" w:themeColor="background1"/>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L94P</w:t>
            </w:r>
          </w:p>
        </w:tc>
      </w:tr>
      <w:tr w:rsidR="000D4EB2" w:rsidTr="00F746A6">
        <w:tc>
          <w:tcPr>
            <w:tcW w:w="873" w:type="dxa"/>
            <w:tcBorders>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w:t>
            </w:r>
          </w:p>
        </w:tc>
        <w:tc>
          <w:tcPr>
            <w:tcW w:w="875" w:type="dxa"/>
            <w:tcBorders>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S2</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S3</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S4</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S5</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2361AE" w:rsidRDefault="000D4EB2" w:rsidP="00F746A6">
            <w:pPr>
              <w:jc w:val="center"/>
            </w:pPr>
            <w:r w:rsidRPr="002361AE">
              <w:t>1</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S6</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S7</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S8</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2361AE" w:rsidRDefault="000D4EB2" w:rsidP="00F746A6">
            <w:pPr>
              <w:jc w:val="center"/>
            </w:pPr>
            <w:r w:rsidRPr="002361AE">
              <w:t>1</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S9</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S10</w:t>
            </w:r>
          </w:p>
        </w:tc>
        <w:tc>
          <w:tcPr>
            <w:tcW w:w="875" w:type="dxa"/>
            <w:tcBorders>
              <w:top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2361AE" w:rsidRDefault="000D4EB2" w:rsidP="00F746A6">
            <w:pPr>
              <w:jc w:val="center"/>
            </w:pPr>
            <w:r w:rsidRPr="002361AE">
              <w:t>1</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S11</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S12</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S13</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S14</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S15</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S16</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S17</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S18</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S19</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S20</w:t>
            </w:r>
          </w:p>
        </w:tc>
        <w:tc>
          <w:tcPr>
            <w:tcW w:w="875" w:type="dxa"/>
            <w:tcBorders>
              <w:top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BFBFBF" w:themeFill="background1" w:themeFillShade="BF"/>
            <w:vAlign w:val="center"/>
          </w:tcPr>
          <w:p w:rsidR="000D4EB2" w:rsidRPr="002361AE" w:rsidRDefault="000D4EB2" w:rsidP="00F746A6">
            <w:pPr>
              <w:jc w:val="center"/>
            </w:pPr>
            <w:r w:rsidRPr="002361AE">
              <w:t>1</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S21</w:t>
            </w:r>
          </w:p>
        </w:tc>
        <w:tc>
          <w:tcPr>
            <w:tcW w:w="875" w:type="dxa"/>
            <w:tcBorders>
              <w:top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D4EB2" w:rsidRPr="002361AE" w:rsidRDefault="000D4EB2" w:rsidP="00F746A6">
            <w:pPr>
              <w:jc w:val="center"/>
            </w:pPr>
            <w:r w:rsidRPr="002361AE">
              <w:t>1</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bottom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r>
      <w:tr w:rsidR="000D4EB2" w:rsidTr="00F746A6">
        <w:tc>
          <w:tcPr>
            <w:tcW w:w="873" w:type="dxa"/>
            <w:tcBorders>
              <w:top w:val="single" w:sz="4" w:space="0" w:color="FFFFFF" w:themeColor="background1"/>
              <w:left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sidRPr="00F617DF">
              <w:rPr>
                <w:rFonts w:ascii="Times New Roman" w:hAnsi="Times New Roman" w:cs="Times New Roman"/>
                <w:b/>
              </w:rPr>
              <w:t>S22</w:t>
            </w:r>
          </w:p>
        </w:tc>
        <w:tc>
          <w:tcPr>
            <w:tcW w:w="875" w:type="dxa"/>
            <w:tcBorders>
              <w:top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vAlign w:val="center"/>
          </w:tcPr>
          <w:p w:rsidR="000D4EB2" w:rsidRPr="00FF475A" w:rsidRDefault="000D4EB2" w:rsidP="00F746A6">
            <w:pPr>
              <w:jc w:val="center"/>
            </w:pPr>
            <w:r w:rsidRPr="00FF475A">
              <w:t>1</w:t>
            </w:r>
          </w:p>
        </w:tc>
        <w:tc>
          <w:tcPr>
            <w:tcW w:w="875" w:type="dxa"/>
            <w:tcBorders>
              <w:top w:val="single" w:sz="4" w:space="0" w:color="FFFFFF" w:themeColor="background1"/>
              <w:left w:val="single" w:sz="4" w:space="0" w:color="FFFFFF" w:themeColor="background1"/>
              <w:right w:val="single" w:sz="4" w:space="0" w:color="FFFFFF" w:themeColor="background1"/>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FFFFFF" w:themeColor="background1"/>
              <w:right w:val="single" w:sz="4" w:space="0" w:color="auto"/>
            </w:tcBorders>
            <w:vAlign w:val="center"/>
          </w:tcPr>
          <w:p w:rsidR="000D4EB2" w:rsidRPr="00FF475A" w:rsidRDefault="000D4EB2" w:rsidP="00F746A6">
            <w:pPr>
              <w:jc w:val="center"/>
            </w:pPr>
            <w:r w:rsidRPr="00FF475A">
              <w:t>0</w:t>
            </w:r>
          </w:p>
        </w:tc>
        <w:tc>
          <w:tcPr>
            <w:tcW w:w="876" w:type="dxa"/>
            <w:tcBorders>
              <w:top w:val="single" w:sz="4" w:space="0" w:color="FFFFFF" w:themeColor="background1"/>
              <w:left w:val="single" w:sz="4" w:space="0" w:color="auto"/>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83"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0D4EB2" w:rsidRPr="002361AE" w:rsidRDefault="000D4EB2" w:rsidP="00F746A6">
            <w:pPr>
              <w:jc w:val="center"/>
            </w:pPr>
            <w:r w:rsidRPr="002361AE">
              <w:t>0</w:t>
            </w:r>
          </w:p>
        </w:tc>
        <w:tc>
          <w:tcPr>
            <w:tcW w:w="876" w:type="dxa"/>
            <w:tcBorders>
              <w:top w:val="single" w:sz="4" w:space="0" w:color="FFFFFF" w:themeColor="background1"/>
              <w:left w:val="single" w:sz="4" w:space="0" w:color="FFFFFF" w:themeColor="background1"/>
              <w:right w:val="single" w:sz="4" w:space="0" w:color="auto"/>
            </w:tcBorders>
            <w:shd w:val="clear" w:color="auto" w:fill="auto"/>
            <w:vAlign w:val="center"/>
          </w:tcPr>
          <w:p w:rsidR="000D4EB2" w:rsidRPr="002361AE" w:rsidRDefault="000D4EB2" w:rsidP="00F746A6">
            <w:pPr>
              <w:jc w:val="center"/>
            </w:pPr>
            <w:r w:rsidRPr="002361AE">
              <w:t>0</w:t>
            </w:r>
          </w:p>
        </w:tc>
        <w:tc>
          <w:tcPr>
            <w:tcW w:w="875" w:type="dxa"/>
            <w:tcBorders>
              <w:top w:val="single" w:sz="4" w:space="0" w:color="FFFFFF" w:themeColor="background1"/>
              <w:left w:val="single" w:sz="4" w:space="0" w:color="auto"/>
              <w:right w:val="single" w:sz="4" w:space="0" w:color="auto"/>
            </w:tcBorders>
            <w:vAlign w:val="center"/>
          </w:tcPr>
          <w:p w:rsidR="000D4EB2" w:rsidRPr="00FF475A" w:rsidRDefault="000D4EB2" w:rsidP="00F746A6">
            <w:pPr>
              <w:jc w:val="center"/>
            </w:pPr>
            <w:r w:rsidRPr="00FF475A">
              <w:t>0</w:t>
            </w:r>
          </w:p>
        </w:tc>
        <w:tc>
          <w:tcPr>
            <w:tcW w:w="875" w:type="dxa"/>
            <w:tcBorders>
              <w:top w:val="single" w:sz="4" w:space="0" w:color="FFFFFF" w:themeColor="background1"/>
              <w:left w:val="single" w:sz="4" w:space="0" w:color="auto"/>
              <w:right w:val="single" w:sz="4" w:space="0" w:color="FFFFFF" w:themeColor="background1"/>
            </w:tcBorders>
            <w:shd w:val="clear" w:color="auto" w:fill="BFBFBF" w:themeFill="background1" w:themeFillShade="BF"/>
            <w:vAlign w:val="center"/>
          </w:tcPr>
          <w:p w:rsidR="000D4EB2" w:rsidRDefault="000D4EB2" w:rsidP="00F746A6">
            <w:pPr>
              <w:jc w:val="center"/>
            </w:pPr>
            <w:r w:rsidRPr="00FF475A">
              <w:t>1</w:t>
            </w:r>
          </w:p>
        </w:tc>
      </w:tr>
      <w:tr w:rsidR="000D4EB2" w:rsidTr="00F746A6">
        <w:tc>
          <w:tcPr>
            <w:tcW w:w="873" w:type="dxa"/>
            <w:tcBorders>
              <w:left w:val="single" w:sz="4" w:space="0" w:color="FFFFFF" w:themeColor="background1"/>
              <w:right w:val="single" w:sz="4" w:space="0" w:color="auto"/>
            </w:tcBorders>
            <w:vAlign w:val="center"/>
          </w:tcPr>
          <w:p w:rsidR="000D4EB2" w:rsidRPr="00F617DF" w:rsidRDefault="000D4EB2" w:rsidP="00F746A6">
            <w:pPr>
              <w:jc w:val="center"/>
              <w:rPr>
                <w:rFonts w:ascii="Times New Roman" w:hAnsi="Times New Roman" w:cs="Times New Roman"/>
                <w:b/>
              </w:rPr>
            </w:pPr>
            <w:r>
              <w:rPr>
                <w:rFonts w:ascii="Times New Roman" w:hAnsi="Times New Roman" w:cs="Times New Roman"/>
                <w:b/>
              </w:rPr>
              <w:t>Total</w:t>
            </w:r>
          </w:p>
        </w:tc>
        <w:tc>
          <w:tcPr>
            <w:tcW w:w="875" w:type="dxa"/>
            <w:tcBorders>
              <w:right w:val="single" w:sz="4" w:space="0" w:color="FFFFFF" w:themeColor="background1"/>
            </w:tcBorders>
            <w:vAlign w:val="center"/>
          </w:tcPr>
          <w:p w:rsidR="000D4EB2" w:rsidRPr="00FF475A" w:rsidRDefault="000D4EB2" w:rsidP="00F746A6">
            <w:pPr>
              <w:jc w:val="center"/>
            </w:pPr>
            <w:r>
              <w:t>2</w:t>
            </w:r>
          </w:p>
        </w:tc>
        <w:tc>
          <w:tcPr>
            <w:tcW w:w="875" w:type="dxa"/>
            <w:tcBorders>
              <w:left w:val="single" w:sz="4" w:space="0" w:color="FFFFFF" w:themeColor="background1"/>
              <w:right w:val="single" w:sz="4" w:space="0" w:color="FFFFFF" w:themeColor="background1"/>
            </w:tcBorders>
            <w:shd w:val="clear" w:color="auto" w:fill="FFFFFF" w:themeFill="background1"/>
            <w:vAlign w:val="center"/>
          </w:tcPr>
          <w:p w:rsidR="000D4EB2" w:rsidRPr="00757B51" w:rsidRDefault="000D4EB2" w:rsidP="00F746A6">
            <w:pPr>
              <w:jc w:val="center"/>
            </w:pPr>
            <w:r>
              <w:t>13</w:t>
            </w:r>
          </w:p>
        </w:tc>
        <w:tc>
          <w:tcPr>
            <w:tcW w:w="875" w:type="dxa"/>
            <w:tcBorders>
              <w:left w:val="single" w:sz="4" w:space="0" w:color="FFFFFF" w:themeColor="background1"/>
              <w:right w:val="single" w:sz="4" w:space="0" w:color="FFFFFF" w:themeColor="background1"/>
            </w:tcBorders>
            <w:shd w:val="clear" w:color="auto" w:fill="FFFFFF" w:themeFill="background1"/>
            <w:vAlign w:val="center"/>
          </w:tcPr>
          <w:p w:rsidR="000D4EB2" w:rsidRPr="00757B51" w:rsidRDefault="000D4EB2" w:rsidP="00F746A6">
            <w:pPr>
              <w:jc w:val="center"/>
            </w:pPr>
            <w:r>
              <w:t>12</w:t>
            </w:r>
          </w:p>
        </w:tc>
        <w:tc>
          <w:tcPr>
            <w:tcW w:w="875" w:type="dxa"/>
            <w:tcBorders>
              <w:left w:val="single" w:sz="4" w:space="0" w:color="FFFFFF" w:themeColor="background1"/>
              <w:right w:val="single" w:sz="4" w:space="0" w:color="FFFFFF" w:themeColor="background1"/>
            </w:tcBorders>
            <w:shd w:val="clear" w:color="auto" w:fill="FFFFFF" w:themeFill="background1"/>
            <w:vAlign w:val="center"/>
          </w:tcPr>
          <w:p w:rsidR="000D4EB2" w:rsidRPr="00757B51" w:rsidRDefault="000D4EB2" w:rsidP="00F746A6">
            <w:pPr>
              <w:jc w:val="center"/>
            </w:pPr>
            <w:r>
              <w:t>5</w:t>
            </w:r>
          </w:p>
        </w:tc>
        <w:tc>
          <w:tcPr>
            <w:tcW w:w="876" w:type="dxa"/>
            <w:tcBorders>
              <w:left w:val="single" w:sz="4" w:space="0" w:color="FFFFFF" w:themeColor="background1"/>
              <w:right w:val="single" w:sz="4" w:space="0" w:color="auto"/>
            </w:tcBorders>
            <w:shd w:val="clear" w:color="auto" w:fill="FFFFFF" w:themeFill="background1"/>
            <w:vAlign w:val="center"/>
          </w:tcPr>
          <w:p w:rsidR="000D4EB2" w:rsidRPr="00757B51" w:rsidRDefault="000D4EB2" w:rsidP="00F746A6">
            <w:pPr>
              <w:jc w:val="center"/>
            </w:pPr>
            <w:r>
              <w:t>9</w:t>
            </w:r>
          </w:p>
        </w:tc>
        <w:tc>
          <w:tcPr>
            <w:tcW w:w="876" w:type="dxa"/>
            <w:tcBorders>
              <w:left w:val="single" w:sz="4" w:space="0" w:color="auto"/>
              <w:right w:val="single" w:sz="4" w:space="0" w:color="FFFFFF" w:themeColor="background1"/>
            </w:tcBorders>
            <w:shd w:val="clear" w:color="auto" w:fill="FFFFFF" w:themeFill="background1"/>
            <w:vAlign w:val="center"/>
          </w:tcPr>
          <w:p w:rsidR="000D4EB2" w:rsidRPr="00FF475A" w:rsidRDefault="000D4EB2" w:rsidP="00F746A6">
            <w:pPr>
              <w:jc w:val="center"/>
            </w:pPr>
            <w:r>
              <w:t>2</w:t>
            </w:r>
          </w:p>
        </w:tc>
        <w:tc>
          <w:tcPr>
            <w:tcW w:w="883" w:type="dxa"/>
            <w:tcBorders>
              <w:left w:val="single" w:sz="4" w:space="0" w:color="FFFFFF" w:themeColor="background1"/>
              <w:right w:val="single" w:sz="4" w:space="0" w:color="FFFFFF" w:themeColor="background1"/>
            </w:tcBorders>
            <w:shd w:val="clear" w:color="auto" w:fill="FFFFFF" w:themeFill="background1"/>
            <w:vAlign w:val="center"/>
          </w:tcPr>
          <w:p w:rsidR="000D4EB2" w:rsidRPr="00FF475A" w:rsidRDefault="000D4EB2" w:rsidP="00F746A6">
            <w:pPr>
              <w:jc w:val="center"/>
            </w:pPr>
            <w:r>
              <w:t>10</w:t>
            </w:r>
          </w:p>
        </w:tc>
        <w:tc>
          <w:tcPr>
            <w:tcW w:w="876" w:type="dxa"/>
            <w:tcBorders>
              <w:left w:val="single" w:sz="4" w:space="0" w:color="FFFFFF" w:themeColor="background1"/>
              <w:right w:val="single" w:sz="4" w:space="0" w:color="auto"/>
            </w:tcBorders>
            <w:shd w:val="clear" w:color="auto" w:fill="FFFFFF" w:themeFill="background1"/>
            <w:vAlign w:val="center"/>
          </w:tcPr>
          <w:p w:rsidR="000D4EB2" w:rsidRPr="00FF475A" w:rsidRDefault="000D4EB2" w:rsidP="00F746A6">
            <w:pPr>
              <w:jc w:val="center"/>
            </w:pPr>
            <w:r>
              <w:t>4</w:t>
            </w:r>
          </w:p>
        </w:tc>
        <w:tc>
          <w:tcPr>
            <w:tcW w:w="875" w:type="dxa"/>
            <w:tcBorders>
              <w:left w:val="single" w:sz="4" w:space="0" w:color="auto"/>
              <w:right w:val="single" w:sz="4" w:space="0" w:color="auto"/>
            </w:tcBorders>
            <w:shd w:val="clear" w:color="auto" w:fill="FFFFFF" w:themeFill="background1"/>
            <w:vAlign w:val="center"/>
          </w:tcPr>
          <w:p w:rsidR="000D4EB2" w:rsidRPr="00757B51" w:rsidRDefault="000D4EB2" w:rsidP="00F746A6">
            <w:pPr>
              <w:jc w:val="center"/>
            </w:pPr>
            <w:r>
              <w:t>6</w:t>
            </w:r>
          </w:p>
        </w:tc>
        <w:tc>
          <w:tcPr>
            <w:tcW w:w="875" w:type="dxa"/>
            <w:tcBorders>
              <w:left w:val="single" w:sz="4" w:space="0" w:color="auto"/>
              <w:right w:val="single" w:sz="4" w:space="0" w:color="FFFFFF" w:themeColor="background1"/>
            </w:tcBorders>
            <w:shd w:val="clear" w:color="auto" w:fill="FFFFFF" w:themeFill="background1"/>
            <w:vAlign w:val="center"/>
          </w:tcPr>
          <w:p w:rsidR="000D4EB2" w:rsidRPr="00757B51" w:rsidRDefault="000D4EB2" w:rsidP="00F746A6">
            <w:pPr>
              <w:jc w:val="center"/>
            </w:pPr>
            <w:r>
              <w:t>12</w:t>
            </w:r>
          </w:p>
        </w:tc>
      </w:tr>
    </w:tbl>
    <w:p w:rsidR="00BE27C4" w:rsidRDefault="00BE27C4" w:rsidP="00CB73DB">
      <w:pPr>
        <w:spacing w:line="276" w:lineRule="auto"/>
        <w:rPr>
          <w:rFonts w:ascii="Times New Roman" w:hAnsi="Times New Roman" w:cs="Times New Roman"/>
          <w:b/>
          <w:color w:val="FF0000"/>
        </w:rPr>
      </w:pPr>
    </w:p>
    <w:p w:rsidR="00CB73DB" w:rsidRPr="0020617F" w:rsidRDefault="00757B51" w:rsidP="00AB5D34">
      <w:pPr>
        <w:spacing w:line="360" w:lineRule="auto"/>
        <w:jc w:val="both"/>
        <w:rPr>
          <w:rFonts w:ascii="Times New Roman" w:hAnsi="Times New Roman" w:cs="Times New Roman"/>
        </w:rPr>
      </w:pPr>
      <w:r>
        <w:rPr>
          <w:rFonts w:ascii="Times New Roman" w:hAnsi="Times New Roman" w:cs="Times New Roman"/>
          <w:b/>
        </w:rPr>
        <w:t>Supplementary Table 2</w:t>
      </w:r>
      <w:r w:rsidR="00A255BB" w:rsidRPr="0020617F">
        <w:rPr>
          <w:rFonts w:ascii="Times New Roman" w:hAnsi="Times New Roman" w:cs="Times New Roman"/>
          <w:b/>
        </w:rPr>
        <w:t xml:space="preserve">. </w:t>
      </w:r>
      <w:r>
        <w:rPr>
          <w:rFonts w:ascii="Times New Roman" w:hAnsi="Times New Roman" w:cs="Times New Roman"/>
          <w:b/>
        </w:rPr>
        <w:t>Correct predictions per variant.</w:t>
      </w:r>
      <w:r w:rsidR="00A255BB" w:rsidRPr="0020617F">
        <w:rPr>
          <w:rFonts w:ascii="Times New Roman" w:hAnsi="Times New Roman" w:cs="Times New Roman"/>
          <w:b/>
        </w:rPr>
        <w:t xml:space="preserve"> </w:t>
      </w:r>
      <w:r>
        <w:rPr>
          <w:rFonts w:ascii="Times New Roman" w:hAnsi="Times New Roman" w:cs="Times New Roman"/>
        </w:rPr>
        <w:t xml:space="preserve">Submissions </w:t>
      </w:r>
      <w:proofErr w:type="gramStart"/>
      <w:r>
        <w:rPr>
          <w:rFonts w:ascii="Times New Roman" w:hAnsi="Times New Roman" w:cs="Times New Roman"/>
        </w:rPr>
        <w:t>are shown</w:t>
      </w:r>
      <w:proofErr w:type="gramEnd"/>
      <w:r>
        <w:rPr>
          <w:rFonts w:ascii="Times New Roman" w:hAnsi="Times New Roman" w:cs="Times New Roman"/>
        </w:rPr>
        <w:t xml:space="preserve"> as rows, followed by the total count of correct predictions. Columns list each variant of the </w:t>
      </w:r>
      <w:r w:rsidR="00655760" w:rsidRPr="00655760">
        <w:rPr>
          <w:rFonts w:ascii="Times New Roman" w:hAnsi="Times New Roman" w:cs="Times New Roman"/>
        </w:rPr>
        <w:t xml:space="preserve">p16INK4a </w:t>
      </w:r>
      <w:r>
        <w:rPr>
          <w:rFonts w:ascii="Times New Roman" w:hAnsi="Times New Roman" w:cs="Times New Roman"/>
        </w:rPr>
        <w:t>challenge and whether the corresponding submission correctly predicted (</w:t>
      </w:r>
      <w:proofErr w:type="gramStart"/>
      <w:r>
        <w:rPr>
          <w:rFonts w:ascii="Times New Roman" w:hAnsi="Times New Roman" w:cs="Times New Roman"/>
        </w:rPr>
        <w:t>1</w:t>
      </w:r>
      <w:proofErr w:type="gramEnd"/>
      <w:r>
        <w:rPr>
          <w:rFonts w:ascii="Times New Roman" w:hAnsi="Times New Roman" w:cs="Times New Roman"/>
        </w:rPr>
        <w:t>, grey background) the effect according to PWSD10. Notice how certain substitutions at the same position were more difficult to predict.</w:t>
      </w:r>
    </w:p>
    <w:p w:rsidR="00A9142A" w:rsidRPr="00E01EEB" w:rsidRDefault="00A9142A"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p w:rsidR="004527D0" w:rsidRPr="00E01EEB" w:rsidRDefault="004527D0" w:rsidP="00AB5D34">
      <w:pPr>
        <w:spacing w:line="360" w:lineRule="auto"/>
        <w:rPr>
          <w:rFonts w:ascii="Times New Roman" w:hAnsi="Times New Roman" w:cs="Times New Roman"/>
        </w:rPr>
      </w:pPr>
    </w:p>
    <w:tbl>
      <w:tblPr>
        <w:tblW w:w="9766" w:type="dxa"/>
        <w:tblLayout w:type="fixed"/>
        <w:tblCellMar>
          <w:left w:w="0" w:type="dxa"/>
          <w:right w:w="0" w:type="dxa"/>
        </w:tblCellMar>
        <w:tblLook w:val="04A0" w:firstRow="1" w:lastRow="0" w:firstColumn="1" w:lastColumn="0" w:noHBand="0" w:noVBand="1"/>
      </w:tblPr>
      <w:tblGrid>
        <w:gridCol w:w="976"/>
        <w:gridCol w:w="977"/>
        <w:gridCol w:w="976"/>
        <w:gridCol w:w="977"/>
        <w:gridCol w:w="976"/>
        <w:gridCol w:w="977"/>
        <w:gridCol w:w="976"/>
        <w:gridCol w:w="977"/>
        <w:gridCol w:w="977"/>
        <w:gridCol w:w="977"/>
      </w:tblGrid>
      <w:tr w:rsidR="00E01EEB" w:rsidRPr="00E01EEB" w:rsidTr="00F746A6">
        <w:trPr>
          <w:trHeight w:hRule="exact" w:val="284"/>
        </w:trPr>
        <w:tc>
          <w:tcPr>
            <w:tcW w:w="976" w:type="dxa"/>
            <w:tcBorders>
              <w:top w:val="single" w:sz="4" w:space="0" w:color="000000" w:themeColor="text1"/>
              <w:bottom w:val="single" w:sz="4" w:space="0" w:color="auto"/>
            </w:tcBorders>
            <w:shd w:val="clear" w:color="auto" w:fill="auto"/>
            <w:noWrap/>
            <w:vAlign w:val="center"/>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lastRenderedPageBreak/>
              <w:t>Submission</w:t>
            </w:r>
          </w:p>
        </w:tc>
        <w:tc>
          <w:tcPr>
            <w:tcW w:w="977"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Sens. 65</w:t>
            </w:r>
          </w:p>
        </w:tc>
        <w:tc>
          <w:tcPr>
            <w:tcW w:w="976"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Spec. 65</w:t>
            </w:r>
          </w:p>
        </w:tc>
        <w:tc>
          <w:tcPr>
            <w:tcW w:w="977"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B. Acc. 65</w:t>
            </w:r>
          </w:p>
        </w:tc>
        <w:tc>
          <w:tcPr>
            <w:tcW w:w="976"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Sens. 75</w:t>
            </w:r>
          </w:p>
        </w:tc>
        <w:tc>
          <w:tcPr>
            <w:tcW w:w="977"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Spec. 75</w:t>
            </w:r>
          </w:p>
        </w:tc>
        <w:tc>
          <w:tcPr>
            <w:tcW w:w="976" w:type="dxa"/>
            <w:tcBorders>
              <w:top w:val="single" w:sz="4" w:space="0" w:color="auto"/>
              <w:bottom w:val="single" w:sz="4" w:space="0" w:color="auto"/>
            </w:tcBorders>
            <w:shd w:val="clear" w:color="auto" w:fill="auto"/>
            <w:noWrap/>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B. Acc. 75</w:t>
            </w:r>
          </w:p>
        </w:tc>
        <w:tc>
          <w:tcPr>
            <w:tcW w:w="977" w:type="dxa"/>
            <w:tcBorders>
              <w:top w:val="single" w:sz="4" w:space="0" w:color="auto"/>
              <w:bottom w:val="single" w:sz="4" w:space="0" w:color="auto"/>
            </w:tcBorders>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Sens. 90</w:t>
            </w:r>
          </w:p>
        </w:tc>
        <w:tc>
          <w:tcPr>
            <w:tcW w:w="977" w:type="dxa"/>
            <w:tcBorders>
              <w:top w:val="single" w:sz="4" w:space="0" w:color="auto"/>
              <w:bottom w:val="single" w:sz="4" w:space="0" w:color="auto"/>
            </w:tcBorders>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Spec. 90</w:t>
            </w:r>
          </w:p>
        </w:tc>
        <w:tc>
          <w:tcPr>
            <w:tcW w:w="977" w:type="dxa"/>
            <w:tcBorders>
              <w:top w:val="single" w:sz="4" w:space="0" w:color="auto"/>
              <w:bottom w:val="single" w:sz="4" w:space="0" w:color="auto"/>
            </w:tcBorders>
            <w:vAlign w:val="center"/>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B. Acc. 90</w:t>
            </w:r>
          </w:p>
        </w:tc>
      </w:tr>
      <w:tr w:rsidR="00E01EEB" w:rsidRPr="00E01EEB" w:rsidTr="00F746A6">
        <w:trPr>
          <w:trHeight w:hRule="exact" w:val="284"/>
        </w:trPr>
        <w:tc>
          <w:tcPr>
            <w:tcW w:w="976" w:type="dxa"/>
            <w:tcBorders>
              <w:top w:val="single" w:sz="4" w:space="0" w:color="auto"/>
            </w:tcBorders>
            <w:shd w:val="clear" w:color="auto" w:fill="auto"/>
            <w:noWrap/>
            <w:vAlign w:val="bottom"/>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w:t>
            </w:r>
          </w:p>
        </w:tc>
        <w:tc>
          <w:tcPr>
            <w:tcW w:w="977" w:type="dxa"/>
            <w:tcBorders>
              <w:top w:val="single" w:sz="4" w:space="0" w:color="auto"/>
            </w:tcBorders>
            <w:shd w:val="clear" w:color="auto" w:fill="auto"/>
            <w:noWrap/>
            <w:vAlign w:val="bottom"/>
          </w:tcPr>
          <w:p w:rsidR="004527D0" w:rsidRPr="00E01EEB" w:rsidRDefault="004527D0" w:rsidP="00F746A6">
            <w:pPr>
              <w:widowControl/>
              <w:suppressAutoHyphens w:val="0"/>
              <w:jc w:val="center"/>
              <w:rPr>
                <w:rFonts w:ascii="Times New Roman" w:eastAsia="Times New Roman" w:hAnsi="Times New Roman" w:cs="Times New Roman"/>
                <w:kern w:val="0"/>
                <w:sz w:val="20"/>
                <w:szCs w:val="20"/>
                <w:lang w:eastAsia="it-IT" w:bidi="ar-SA"/>
              </w:rPr>
            </w:pPr>
            <w:r w:rsidRPr="00E01EEB">
              <w:rPr>
                <w:rFonts w:ascii="Times New Roman" w:hAnsi="Times New Roman" w:cs="Times New Roman"/>
                <w:sz w:val="20"/>
                <w:szCs w:val="20"/>
              </w:rPr>
              <w:t>1</w:t>
            </w:r>
          </w:p>
        </w:tc>
        <w:tc>
          <w:tcPr>
            <w:tcW w:w="976" w:type="dxa"/>
            <w:tcBorders>
              <w:top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tcBorders>
              <w:top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tcBorders>
              <w:top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tcBorders>
              <w:top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tcBorders>
              <w:top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tcBorders>
              <w:top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tcBorders>
              <w:top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0.29</w:t>
            </w:r>
          </w:p>
        </w:tc>
        <w:tc>
          <w:tcPr>
            <w:tcW w:w="977" w:type="dxa"/>
            <w:tcBorders>
              <w:top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0.64</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S2</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0.38</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0.29</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0.64</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S4</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S5</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0.67</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0.83</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0.79</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S6</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0.14</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0.57</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S7</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S9</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0.71</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0.67</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0.9</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0.38</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S12</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0.67</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S14</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0.29</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S15</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0.79</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S16</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S17</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0.67</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S18</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0.67</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S19</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0.52</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S20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0.57</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0.79</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E01EEB" w:rsidRPr="00E01EEB" w:rsidTr="00F746A6">
        <w:trPr>
          <w:trHeight w:hRule="exact" w:val="284"/>
        </w:trPr>
        <w:tc>
          <w:tcPr>
            <w:tcW w:w="976" w:type="dxa"/>
            <w:shd w:val="clear" w:color="auto" w:fill="auto"/>
            <w:noWrap/>
            <w:vAlign w:val="bottom"/>
            <w:hideMark/>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S21</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0.43</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0.4</w:t>
            </w:r>
          </w:p>
        </w:tc>
        <w:tc>
          <w:tcPr>
            <w:tcW w:w="977"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0.2</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r>
      <w:tr w:rsidR="004527D0" w:rsidRPr="00E01EEB" w:rsidTr="00F746A6">
        <w:trPr>
          <w:trHeight w:hRule="exact" w:val="284"/>
        </w:trPr>
        <w:tc>
          <w:tcPr>
            <w:tcW w:w="976" w:type="dxa"/>
            <w:tcBorders>
              <w:bottom w:val="single" w:sz="4" w:space="0" w:color="auto"/>
            </w:tcBorders>
            <w:shd w:val="clear" w:color="auto" w:fill="auto"/>
            <w:noWrap/>
            <w:vAlign w:val="bottom"/>
          </w:tcPr>
          <w:p w:rsidR="004527D0" w:rsidRPr="00E01EEB" w:rsidRDefault="004527D0" w:rsidP="00F746A6">
            <w:pPr>
              <w:jc w:val="center"/>
              <w:rPr>
                <w:rFonts w:ascii="Times New Roman" w:eastAsia="Times New Roman" w:hAnsi="Times New Roman" w:cs="Times New Roman"/>
                <w:sz w:val="20"/>
                <w:szCs w:val="20"/>
                <w:lang w:eastAsia="it-IT"/>
              </w:rPr>
            </w:pPr>
            <w:r w:rsidRPr="00E01EEB">
              <w:rPr>
                <w:rFonts w:ascii="Times New Roman" w:eastAsia="Times New Roman" w:hAnsi="Times New Roman" w:cs="Times New Roman"/>
                <w:sz w:val="20"/>
                <w:szCs w:val="20"/>
                <w:lang w:eastAsia="it-IT"/>
              </w:rPr>
              <w:t>S22</w:t>
            </w:r>
          </w:p>
        </w:tc>
        <w:tc>
          <w:tcPr>
            <w:tcW w:w="977"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6"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7"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6"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1</w:t>
            </w:r>
          </w:p>
        </w:tc>
        <w:tc>
          <w:tcPr>
            <w:tcW w:w="977"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w:t>
            </w:r>
          </w:p>
        </w:tc>
        <w:tc>
          <w:tcPr>
            <w:tcW w:w="976" w:type="dxa"/>
            <w:tcBorders>
              <w:bottom w:val="single" w:sz="4" w:space="0" w:color="auto"/>
            </w:tcBorders>
            <w:shd w:val="clear" w:color="auto" w:fill="auto"/>
            <w:noWrap/>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0.5</w:t>
            </w:r>
          </w:p>
        </w:tc>
        <w:tc>
          <w:tcPr>
            <w:tcW w:w="977" w:type="dxa"/>
            <w:tcBorders>
              <w:bottom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0.33</w:t>
            </w:r>
          </w:p>
        </w:tc>
        <w:tc>
          <w:tcPr>
            <w:tcW w:w="977" w:type="dxa"/>
            <w:tcBorders>
              <w:bottom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0.86</w:t>
            </w:r>
          </w:p>
        </w:tc>
        <w:tc>
          <w:tcPr>
            <w:tcW w:w="977" w:type="dxa"/>
            <w:tcBorders>
              <w:bottom w:val="single" w:sz="4" w:space="0" w:color="auto"/>
            </w:tcBorders>
            <w:vAlign w:val="bottom"/>
          </w:tcPr>
          <w:p w:rsidR="004527D0" w:rsidRPr="00E01EEB" w:rsidRDefault="004527D0" w:rsidP="00F746A6">
            <w:pPr>
              <w:jc w:val="center"/>
              <w:rPr>
                <w:rFonts w:ascii="Times New Roman" w:hAnsi="Times New Roman" w:cs="Times New Roman"/>
                <w:sz w:val="20"/>
                <w:szCs w:val="20"/>
              </w:rPr>
            </w:pPr>
            <w:r w:rsidRPr="00E01EEB">
              <w:rPr>
                <w:rFonts w:ascii="Times New Roman" w:hAnsi="Times New Roman" w:cs="Times New Roman"/>
                <w:sz w:val="20"/>
                <w:szCs w:val="20"/>
              </w:rPr>
              <w:t>0.6</w:t>
            </w:r>
          </w:p>
        </w:tc>
      </w:tr>
    </w:tbl>
    <w:p w:rsidR="004527D0" w:rsidRPr="00E01EEB" w:rsidRDefault="004527D0" w:rsidP="004527D0">
      <w:pPr>
        <w:jc w:val="both"/>
        <w:rPr>
          <w:rFonts w:ascii="Times New Roman" w:hAnsi="Times New Roman" w:cs="Times New Roman"/>
          <w:b/>
        </w:rPr>
      </w:pPr>
    </w:p>
    <w:p w:rsidR="004527D0" w:rsidRPr="00E01EEB" w:rsidRDefault="004527D0" w:rsidP="004527D0">
      <w:pPr>
        <w:spacing w:line="360" w:lineRule="auto"/>
        <w:jc w:val="both"/>
        <w:rPr>
          <w:rFonts w:ascii="Times New Roman" w:hAnsi="Times New Roman" w:cs="Times New Roman"/>
        </w:rPr>
      </w:pPr>
      <w:r w:rsidRPr="00E01EEB">
        <w:rPr>
          <w:rFonts w:ascii="Times New Roman" w:hAnsi="Times New Roman" w:cs="Times New Roman"/>
          <w:b/>
        </w:rPr>
        <w:t xml:space="preserve">Supplementary Table 3. Complementary performance indices. </w:t>
      </w:r>
      <w:r w:rsidRPr="00E01EEB">
        <w:rPr>
          <w:rFonts w:ascii="Times New Roman" w:hAnsi="Times New Roman" w:cs="Times New Roman"/>
        </w:rPr>
        <w:t xml:space="preserve">Complementary performance measures </w:t>
      </w:r>
      <w:proofErr w:type="gramStart"/>
      <w:r w:rsidRPr="00E01EEB">
        <w:rPr>
          <w:rFonts w:ascii="Times New Roman" w:hAnsi="Times New Roman" w:cs="Times New Roman"/>
        </w:rPr>
        <w:t>are reported</w:t>
      </w:r>
      <w:proofErr w:type="gramEnd"/>
      <w:r w:rsidRPr="00E01EEB">
        <w:rPr>
          <w:rFonts w:ascii="Times New Roman" w:hAnsi="Times New Roman" w:cs="Times New Roman"/>
        </w:rPr>
        <w:t xml:space="preserve"> for </w:t>
      </w:r>
      <w:r w:rsidR="005B342D">
        <w:rPr>
          <w:rFonts w:ascii="Times New Roman" w:hAnsi="Times New Roman" w:cs="Times New Roman"/>
        </w:rPr>
        <w:t>three</w:t>
      </w:r>
      <w:r w:rsidRPr="00E01EEB">
        <w:rPr>
          <w:rFonts w:ascii="Times New Roman" w:hAnsi="Times New Roman" w:cs="Times New Roman"/>
        </w:rPr>
        <w:t xml:space="preserve"> different levels of binary classification (Thresholds for proliferation levels: 65,</w:t>
      </w:r>
      <w:r w:rsidR="005B342D">
        <w:rPr>
          <w:rFonts w:ascii="Times New Roman" w:hAnsi="Times New Roman" w:cs="Times New Roman"/>
        </w:rPr>
        <w:t xml:space="preserve"> </w:t>
      </w:r>
      <w:r w:rsidRPr="00E01EEB">
        <w:rPr>
          <w:rFonts w:ascii="Times New Roman" w:hAnsi="Times New Roman" w:cs="Times New Roman"/>
        </w:rPr>
        <w:t>75,</w:t>
      </w:r>
      <w:r w:rsidR="005B342D">
        <w:rPr>
          <w:rFonts w:ascii="Times New Roman" w:hAnsi="Times New Roman" w:cs="Times New Roman"/>
        </w:rPr>
        <w:t xml:space="preserve"> and 90). For each threshold, three</w:t>
      </w:r>
      <w:r w:rsidRPr="00E01EEB">
        <w:rPr>
          <w:rFonts w:ascii="Times New Roman" w:hAnsi="Times New Roman" w:cs="Times New Roman"/>
        </w:rPr>
        <w:t xml:space="preserve"> performance indices </w:t>
      </w:r>
      <w:proofErr w:type="gramStart"/>
      <w:r w:rsidRPr="00E01EEB">
        <w:rPr>
          <w:rFonts w:ascii="Times New Roman" w:hAnsi="Times New Roman" w:cs="Times New Roman"/>
        </w:rPr>
        <w:t>are reported</w:t>
      </w:r>
      <w:proofErr w:type="gramEnd"/>
      <w:r w:rsidRPr="00E01EEB">
        <w:rPr>
          <w:rFonts w:ascii="Times New Roman" w:hAnsi="Times New Roman" w:cs="Times New Roman"/>
        </w:rPr>
        <w:t>: Sensitivity, Sp</w:t>
      </w:r>
      <w:r w:rsidR="002D3767" w:rsidRPr="00E01EEB">
        <w:rPr>
          <w:rFonts w:ascii="Times New Roman" w:hAnsi="Times New Roman" w:cs="Times New Roman"/>
        </w:rPr>
        <w:t>ecificity and Balanced Accuracy</w:t>
      </w:r>
      <w:r w:rsidRPr="00E01EEB">
        <w:rPr>
          <w:rFonts w:ascii="Times New Roman" w:hAnsi="Times New Roman" w:cs="Times New Roman"/>
        </w:rPr>
        <w:t>.</w:t>
      </w:r>
    </w:p>
    <w:p w:rsidR="004527D0" w:rsidRPr="00E01EEB" w:rsidRDefault="004527D0" w:rsidP="00AB5D34">
      <w:pPr>
        <w:spacing w:line="360" w:lineRule="auto"/>
        <w:rPr>
          <w:rFonts w:ascii="Times New Roman" w:hAnsi="Times New Roman" w:cs="Times New Roman"/>
        </w:rPr>
      </w:pPr>
    </w:p>
    <w:p w:rsidR="00CA327B" w:rsidRDefault="00CA327B" w:rsidP="00045007">
      <w:pPr>
        <w:spacing w:line="480" w:lineRule="auto"/>
        <w:jc w:val="both"/>
        <w:rPr>
          <w:rFonts w:ascii="Times New Roman" w:hAnsi="Times New Roman" w:cs="Times New Roman"/>
          <w:b/>
          <w:sz w:val="28"/>
          <w:szCs w:val="28"/>
        </w:rPr>
      </w:pPr>
    </w:p>
    <w:p w:rsidR="00045007" w:rsidRDefault="00E01EEB" w:rsidP="00045007">
      <w:pPr>
        <w:spacing w:line="480" w:lineRule="auto"/>
        <w:jc w:val="both"/>
        <w:rPr>
          <w:rFonts w:ascii="Times New Roman" w:hAnsi="Times New Roman" w:cs="Times New Roman"/>
          <w:b/>
          <w:sz w:val="28"/>
          <w:szCs w:val="28"/>
        </w:rPr>
      </w:pPr>
      <w:r>
        <w:rPr>
          <w:rFonts w:ascii="Times New Roman" w:hAnsi="Times New Roman" w:cs="Times New Roman"/>
          <w:b/>
          <w:sz w:val="28"/>
          <w:szCs w:val="28"/>
        </w:rPr>
        <w:t>References</w:t>
      </w:r>
    </w:p>
    <w:p w:rsidR="00BF6B9A" w:rsidRPr="00BF6B9A" w:rsidRDefault="00045007" w:rsidP="00BF6B9A">
      <w:pPr>
        <w:pStyle w:val="Bibliografia"/>
        <w:rPr>
          <w:rFonts w:ascii="Times New Roman" w:hAnsi="Times New Roman" w:cs="Times New Roman"/>
        </w:rPr>
      </w:pPr>
      <w:r w:rsidRPr="00757B51">
        <w:rPr>
          <w:b/>
          <w:sz w:val="26"/>
          <w:szCs w:val="28"/>
        </w:rPr>
        <w:fldChar w:fldCharType="begin"/>
      </w:r>
      <w:r w:rsidR="00BF6B9A">
        <w:rPr>
          <w:b/>
          <w:sz w:val="26"/>
          <w:szCs w:val="28"/>
        </w:rPr>
        <w:instrText xml:space="preserve"> ADDIN ZOTERO_BIBL {"custom":[]} CSL_BIBLIOGRAPHY </w:instrText>
      </w:r>
      <w:r w:rsidRPr="00757B51">
        <w:rPr>
          <w:b/>
          <w:sz w:val="26"/>
          <w:szCs w:val="28"/>
        </w:rPr>
        <w:fldChar w:fldCharType="separate"/>
      </w:r>
      <w:r w:rsidR="00BF6B9A" w:rsidRPr="00BF6B9A">
        <w:rPr>
          <w:rFonts w:ascii="Times New Roman" w:hAnsi="Times New Roman" w:cs="Times New Roman"/>
        </w:rPr>
        <w:t>Adzhubei, I.A., Schmidt, S., Peshkin, L., Ramensky, V.E., Gerasimova, A., Bork, P., Kondrashov, A.S., Sunyaev, S.R., 2010. A method and server for predicting damaging missense mutations. Nat. Methods 7, 248–249. doi:10.1038/nmeth0410-248</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Altschul, S.F., Madden, T.L., Schäffer, A.A., Zhang, J., Zhang, Z., Miller, W., Lipman, D.J., 1997. Gapped BLAST and PSI-BLAST: a new generation of protein database search programs. Nucleic Acids Res. 25, 3389–3402.</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Bromberg, Y., Kahn, P.C., Rost, B., 2013. Neutral and weakly nonneutral sequence variants may define individuality. Proc. Natl. Acad. Sci. U. S. A. 110, 14255–14260. doi:10.1073/pnas.1216613110</w:t>
      </w:r>
    </w:p>
    <w:p w:rsidR="00BF6B9A" w:rsidRPr="00BF6B9A" w:rsidRDefault="00BF6B9A" w:rsidP="00BF6B9A">
      <w:pPr>
        <w:pStyle w:val="Bibliografia"/>
        <w:rPr>
          <w:rFonts w:ascii="Times New Roman" w:hAnsi="Times New Roman" w:cs="Times New Roman"/>
          <w:lang w:val="it-IT"/>
        </w:rPr>
      </w:pPr>
      <w:r w:rsidRPr="00BF6B9A">
        <w:rPr>
          <w:rFonts w:ascii="Times New Roman" w:hAnsi="Times New Roman" w:cs="Times New Roman"/>
        </w:rPr>
        <w:t xml:space="preserve">Bromberg, Y., Rost, B., 2007. SNAP: predict effect of non-synonymous polymorphisms on function. </w:t>
      </w:r>
      <w:r w:rsidRPr="00BF6B9A">
        <w:rPr>
          <w:rFonts w:ascii="Times New Roman" w:hAnsi="Times New Roman" w:cs="Times New Roman"/>
          <w:lang w:val="it-IT"/>
        </w:rPr>
        <w:t>Nucleic Acids Res. 35, 3823–3835. doi:10.1093/nar/gkm238</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lang w:val="it-IT"/>
        </w:rPr>
        <w:t xml:space="preserve">Calabrese, R., Capriotti, E., Fariselli, P., Martelli, P.L., Casadio, R., 2009. </w:t>
      </w:r>
      <w:r w:rsidRPr="00BF6B9A">
        <w:rPr>
          <w:rFonts w:ascii="Times New Roman" w:hAnsi="Times New Roman" w:cs="Times New Roman"/>
        </w:rPr>
        <w:t xml:space="preserve">Functional annotations improve the predictive score of human disease-related mutations in proteins. Hum. Mutat. 30, </w:t>
      </w:r>
      <w:r w:rsidRPr="00BF6B9A">
        <w:rPr>
          <w:rFonts w:ascii="Times New Roman" w:hAnsi="Times New Roman" w:cs="Times New Roman"/>
        </w:rPr>
        <w:lastRenderedPageBreak/>
        <w:t>1237–1244. doi:10.1002/humu.21047</w:t>
      </w:r>
    </w:p>
    <w:p w:rsidR="00BF6B9A" w:rsidRPr="00BF6B9A" w:rsidRDefault="00BF6B9A" w:rsidP="00BF6B9A">
      <w:pPr>
        <w:pStyle w:val="Bibliografia"/>
        <w:rPr>
          <w:rFonts w:ascii="Times New Roman" w:hAnsi="Times New Roman" w:cs="Times New Roman"/>
          <w:lang w:val="it-IT"/>
        </w:rPr>
      </w:pPr>
      <w:r w:rsidRPr="00BF6B9A">
        <w:rPr>
          <w:rFonts w:ascii="Times New Roman" w:hAnsi="Times New Roman" w:cs="Times New Roman"/>
        </w:rPr>
        <w:t xml:space="preserve">Capriotti, E., Altman, R.B., 2011. Improving the prediction of disease-related variants using protein three-dimensional structure. </w:t>
      </w:r>
      <w:r w:rsidRPr="00BF6B9A">
        <w:rPr>
          <w:rFonts w:ascii="Times New Roman" w:hAnsi="Times New Roman" w:cs="Times New Roman"/>
          <w:lang w:val="it-IT"/>
        </w:rPr>
        <w:t>BMC Bioinformatics 12, 1–11. doi:10.1186/1471-2105-12-S4-S3</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lang w:val="it-IT"/>
        </w:rPr>
        <w:t xml:space="preserve">Capriotti, E., Calabrese, R., Fariselli, P., Martelli, P.L., Altman, R.B., Casadio, R., 2013. </w:t>
      </w:r>
      <w:r w:rsidRPr="00BF6B9A">
        <w:rPr>
          <w:rFonts w:ascii="Times New Roman" w:hAnsi="Times New Roman" w:cs="Times New Roman"/>
        </w:rPr>
        <w:t>WS-SNPs&amp;GO: a web server for predicting the deleterious effect of human protein variants using functional annotation. BMC Genomics 14, 1–7. doi:10.1186/1471-2164-14-S3-S6</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Carter, H., Chen, S., Isik, L., Tyekucheva, S., Velculescu, V.E., Kinzler, K.W., Vogelstein, B., Karchin, R., 2009. Cancer-Specific High-Throughput Annotation of Somatic Mutations: Computational Prediction of Driver Missense Mutations. Cancer Res. 69, 6660–6667. doi:10.1158/0008-5472.CAN-09-1133</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Chang, C.-C., Lin, C.-J., 2011. LIBSVM: A Library for Support Vector Machines. ACM Trans Intell Syst Technol 2, 27:1–27:27. doi:10.1145/1961189.1961199</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Eddy, S.R., 1998. Profile hidden Markov models. Bioinformatics 14, 755–763. doi:10.1093/bioinformatics/14.9.755</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González-Pérez, A., López-Bigas, N., 2011. Improving the Assessment of the Outcome of Nonsynonymous SNVs with a Consensus Deleteriousness Score, Condel. Am. J. Hum. Genet. 88, 440–449. doi:10.1016/j.ajhg.2011.03.004</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Hecht, M., Bromberg, Y., Rost, B., 2015. Better prediction of functional effects for sequence variants. BMC Genomics 16, 1–12. doi:10.1186/1471-2164-16-S8-S1</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Katsonis, P., Lichtarge, O., 2014. A formal perturbation equation between genotype and phenotype determines the evolutionary action of protein coding variations on fitness. Genome Res. gr.176214.114. doi:10.1101/gr.176214.114</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Kumar, P., Henikoff, S., Ng, P.C., 2009. Predicting the effects of coding non-synonymous variants on protein function using the SIFT algorithm. Nat. Protoc. 4, 1073–1081. doi:10.1038/nprot.2009.86</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Lichtarge, O., Bourne, H.R., Cohen, F.E., 1996. An evolutionary trace method defines binding surfaces common to protein families. J. Mol. Biol. 257, 342–358. doi:10.1006/jmbi.1996.0167</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Neskey, D.M., Osman, A.A., Ow, T.J., Katsonis, P., McDonald, T., Hicks, S.C., Hsu, T.-K., Pickering, C.R., Ward, A., Patel, A., Yordy, J.S., Skinner, H.D., Giri, U., Sano, D., Story, M.D., Beadle, B.M., El-Naggar, A.K., Kies, M.S., William, W.N., Caulin, C., Frederick, M., Kimmel, M., Myers, J.N., Lichtarge, O., 2015. Evolutionary Action Score of TP53 Identifies High-Risk Mutations Associated with Decreased Survival and Increased Distant Metastases in Head and Neck Cancer. Cancer Res. 75, 1527–1536. doi:10.1158/0008-5472.CAN-14-2735</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Niroula, A., Urolagin, S., Vihinen, M., 2015. PON-P2: Prediction Method for Fast and Reliable Identification of Harmful Variants. PLOS ONE 10, e0117380. doi:10.1371/journal.pone.0117380</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Olatubosun, A., Väliaho, J., Härkönen, J., Thusberg, J., Vihinen, M., 2012. PON-P: integrated predictor for pathogenicity of missense variants. Hum. Mutat. 33, 1166–1174. doi:10.1002/humu.22102</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Rohl, C.A., Strauss, C.E.M., Misura, K.M.S., Baker, D., 2004. Protein structure prediction using Rosetta. Methods Enzymol. 383, 66–93. doi:10.1016/S0076-6879(04)83004-0</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Ruas, M., Brookes, S., McDonald, N.Q., Peters, G., 1999. Functional evaluation of tumour-specific variants of p16INK4a/CDKN2A: correlation with protein structure information. Oncogene 18, 5423–5434. doi:10.1038/sj.onc.1202918</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Sasidharan Nair, P., Vihinen, M., 2013. VariBench: a benchmark database for variations. Hum. Mutat. 34, 42–49. doi:10.1002/humu.22204</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Shihab, H.A., Gough, J., Cooper, D.N., Stenson, P.D., Barker, G.L.A., Edwards, K.J., Day, I.N.M., Gaunt, T.R., 2013. Predicting the functional, molecular, and phenotypic consequences of amino acid substitutions using hidden Markov models. Hum. Mutat. 34, 57–65. doi:10.1002/humu.22225</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lastRenderedPageBreak/>
        <w:t>Sjölander, K., Karplus, K., Brown, M., Hughey, R., Krogh, A., Mian, I.S., Haussler, D., 1996. Dirichlet mixtures: a method for improved detection of weak but significant protein sequence homology. Comput. Appl. Biosci. CABIOS 12, 327–345. doi:10.1093/bioinformatics/12.4.327</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Suzek, B.E., Huang, H., McGarvey, P., Mazumder, R., Wu, C.H., 2007. UniRef: comprehensive and non-redundant UniProt reference clusters. Bioinforma. Oxf. Engl. 23, 1282–1288. doi:10.1093/bioinformatics/btm098</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Thusberg, J., Olatubosun, A., Vihinen, M., 2011. Performance of mutation pathogenicity prediction methods on missense variants. Hum. Mutat. 32, 358–368. doi:10.1002/humu.21445</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Yue, P., Moult, J., 2006. Identification and analysis of deleterious human SNPs. J. Mol. Biol. 356, 1263–1274. doi:10.1016/j.jmb.2005.12.025</w:t>
      </w:r>
    </w:p>
    <w:p w:rsidR="00BF6B9A" w:rsidRPr="00BF6B9A" w:rsidRDefault="00BF6B9A" w:rsidP="00BF6B9A">
      <w:pPr>
        <w:pStyle w:val="Bibliografia"/>
        <w:rPr>
          <w:rFonts w:ascii="Times New Roman" w:hAnsi="Times New Roman" w:cs="Times New Roman"/>
        </w:rPr>
      </w:pPr>
      <w:r w:rsidRPr="00BF6B9A">
        <w:rPr>
          <w:rFonts w:ascii="Times New Roman" w:hAnsi="Times New Roman" w:cs="Times New Roman"/>
        </w:rPr>
        <w:t>Zhou, H., Zhou, Y., 2002. Distance-scaled, finite ideal-gas reference state improves structure-derived potentials of mean force for structure selection and stability prediction. Protein Sci. Publ. Protein Soc. 11, 2714–2726. doi:10.1110/ps.0217002</w:t>
      </w:r>
    </w:p>
    <w:p w:rsidR="00DA244C" w:rsidRPr="00757B51" w:rsidRDefault="00045007" w:rsidP="00045007">
      <w:pPr>
        <w:rPr>
          <w:rFonts w:ascii="Times New Roman" w:hAnsi="Times New Roman" w:cs="Times New Roman"/>
          <w:bCs/>
          <w:sz w:val="22"/>
        </w:rPr>
      </w:pPr>
      <w:r w:rsidRPr="00757B51">
        <w:rPr>
          <w:rFonts w:ascii="Times New Roman" w:hAnsi="Times New Roman" w:cs="Times New Roman"/>
          <w:b/>
          <w:szCs w:val="28"/>
        </w:rPr>
        <w:fldChar w:fldCharType="end"/>
      </w:r>
    </w:p>
    <w:p w:rsidR="00DA244C" w:rsidRPr="00757B51" w:rsidRDefault="00DA244C" w:rsidP="009151A1">
      <w:pPr>
        <w:rPr>
          <w:rFonts w:ascii="Times New Roman" w:hAnsi="Times New Roman" w:cs="Times New Roman"/>
          <w:b/>
          <w:bCs/>
          <w:sz w:val="22"/>
        </w:rPr>
      </w:pPr>
      <w:bookmarkStart w:id="1" w:name="_GoBack"/>
      <w:bookmarkEnd w:id="1"/>
    </w:p>
    <w:sectPr w:rsidR="00DA244C" w:rsidRPr="00757B51" w:rsidSect="00CB03EE">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DejaVu Sans">
    <w:charset w:val="00"/>
    <w:family w:val="swiss"/>
    <w:pitch w:val="variable"/>
    <w:sig w:usb0="E7002EFF" w:usb1="D200FDFF" w:usb2="0A246029" w:usb3="00000000" w:csb0="000001FF" w:csb1="00000000"/>
  </w:font>
  <w:font w:name="Lohit Hindi">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37242BBA"/>
    <w:multiLevelType w:val="hybridMultilevel"/>
    <w:tmpl w:val="FCE8D3F4"/>
    <w:lvl w:ilvl="0" w:tplc="B36810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yMLW0NDE3t7AwNjFQ0lEKTi0uzszPAykwrwUAwJ7nliwAAAA="/>
  </w:docVars>
  <w:rsids>
    <w:rsidRoot w:val="008959D2"/>
    <w:rsid w:val="00010218"/>
    <w:rsid w:val="00045007"/>
    <w:rsid w:val="00046F8F"/>
    <w:rsid w:val="000D4EB2"/>
    <w:rsid w:val="001B5592"/>
    <w:rsid w:val="001F264E"/>
    <w:rsid w:val="001F7236"/>
    <w:rsid w:val="0020617F"/>
    <w:rsid w:val="00206369"/>
    <w:rsid w:val="00250B17"/>
    <w:rsid w:val="0026250C"/>
    <w:rsid w:val="00286C1A"/>
    <w:rsid w:val="002A6FD8"/>
    <w:rsid w:val="002C377C"/>
    <w:rsid w:val="002D3767"/>
    <w:rsid w:val="002F01C2"/>
    <w:rsid w:val="003238C6"/>
    <w:rsid w:val="003B1E61"/>
    <w:rsid w:val="003C507F"/>
    <w:rsid w:val="003D3DFE"/>
    <w:rsid w:val="0040742F"/>
    <w:rsid w:val="004274D4"/>
    <w:rsid w:val="00444883"/>
    <w:rsid w:val="004527D0"/>
    <w:rsid w:val="004F1426"/>
    <w:rsid w:val="0050343B"/>
    <w:rsid w:val="00551D87"/>
    <w:rsid w:val="005B342D"/>
    <w:rsid w:val="00655760"/>
    <w:rsid w:val="0066059F"/>
    <w:rsid w:val="00757B51"/>
    <w:rsid w:val="007F018D"/>
    <w:rsid w:val="00826C41"/>
    <w:rsid w:val="008449A3"/>
    <w:rsid w:val="008545C8"/>
    <w:rsid w:val="0089510D"/>
    <w:rsid w:val="008959D2"/>
    <w:rsid w:val="008E0B69"/>
    <w:rsid w:val="008F0174"/>
    <w:rsid w:val="008F2C9A"/>
    <w:rsid w:val="009151A1"/>
    <w:rsid w:val="00921B10"/>
    <w:rsid w:val="00A255BB"/>
    <w:rsid w:val="00A373DC"/>
    <w:rsid w:val="00A9142A"/>
    <w:rsid w:val="00AB5D34"/>
    <w:rsid w:val="00B54B21"/>
    <w:rsid w:val="00BB0520"/>
    <w:rsid w:val="00BC2EAB"/>
    <w:rsid w:val="00BE27C4"/>
    <w:rsid w:val="00BF6B9A"/>
    <w:rsid w:val="00C4442A"/>
    <w:rsid w:val="00CA327B"/>
    <w:rsid w:val="00CB03EE"/>
    <w:rsid w:val="00CB73DB"/>
    <w:rsid w:val="00CC5BB1"/>
    <w:rsid w:val="00D07266"/>
    <w:rsid w:val="00D9518B"/>
    <w:rsid w:val="00DA244C"/>
    <w:rsid w:val="00DC1C49"/>
    <w:rsid w:val="00E01EEB"/>
    <w:rsid w:val="00E27314"/>
    <w:rsid w:val="00E33390"/>
    <w:rsid w:val="00EF010B"/>
    <w:rsid w:val="00F746A6"/>
    <w:rsid w:val="00F9599D"/>
    <w:rsid w:val="00FC1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459D62-CF2E-4510-8563-370848DB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3DFE"/>
    <w:pPr>
      <w:widowControl w:val="0"/>
      <w:suppressAutoHyphens/>
      <w:spacing w:after="0" w:line="240" w:lineRule="auto"/>
    </w:pPr>
    <w:rPr>
      <w:rFonts w:ascii="Liberation Serif" w:eastAsia="DejaVu Sans" w:hAnsi="Liberation Serif" w:cs="Lohit Hindi"/>
      <w:kern w:val="1"/>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F2C9A"/>
    <w:rPr>
      <w:color w:val="808080"/>
    </w:rPr>
  </w:style>
  <w:style w:type="paragraph" w:styleId="Paragrafoelenco">
    <w:name w:val="List Paragraph"/>
    <w:basedOn w:val="Normale"/>
    <w:uiPriority w:val="34"/>
    <w:qFormat/>
    <w:rsid w:val="00551D87"/>
    <w:pPr>
      <w:widowControl/>
      <w:suppressAutoHyphens w:val="0"/>
      <w:spacing w:after="200"/>
      <w:ind w:left="720"/>
      <w:contextualSpacing/>
    </w:pPr>
    <w:rPr>
      <w:rFonts w:asciiTheme="minorHAnsi" w:eastAsiaTheme="minorEastAsia" w:hAnsiTheme="minorHAnsi" w:cstheme="minorBidi"/>
      <w:kern w:val="0"/>
      <w:lang w:eastAsia="ja-JP" w:bidi="ar-SA"/>
    </w:rPr>
  </w:style>
  <w:style w:type="paragraph" w:styleId="Didascalia">
    <w:name w:val="caption"/>
    <w:basedOn w:val="Normale"/>
    <w:next w:val="Normale"/>
    <w:uiPriority w:val="35"/>
    <w:unhideWhenUsed/>
    <w:qFormat/>
    <w:rsid w:val="00551D87"/>
    <w:pPr>
      <w:widowControl/>
      <w:suppressAutoHyphens w:val="0"/>
      <w:spacing w:after="200"/>
    </w:pPr>
    <w:rPr>
      <w:rFonts w:asciiTheme="minorHAnsi" w:eastAsiaTheme="minorEastAsia" w:hAnsiTheme="minorHAnsi" w:cstheme="minorBidi"/>
      <w:b/>
      <w:bCs/>
      <w:color w:val="5B9BD5" w:themeColor="accent1"/>
      <w:kern w:val="0"/>
      <w:sz w:val="18"/>
      <w:szCs w:val="18"/>
      <w:lang w:val="en-AU" w:eastAsia="en-US" w:bidi="ar-SA"/>
    </w:rPr>
  </w:style>
  <w:style w:type="paragraph" w:styleId="Testofumetto">
    <w:name w:val="Balloon Text"/>
    <w:basedOn w:val="Normale"/>
    <w:link w:val="TestofumettoCarattere"/>
    <w:uiPriority w:val="99"/>
    <w:semiHidden/>
    <w:unhideWhenUsed/>
    <w:rsid w:val="00444883"/>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444883"/>
    <w:rPr>
      <w:rFonts w:ascii="Tahoma" w:eastAsia="DejaVu Sans" w:hAnsi="Tahoma" w:cs="Mangal"/>
      <w:kern w:val="1"/>
      <w:sz w:val="16"/>
      <w:szCs w:val="14"/>
      <w:lang w:eastAsia="zh-CN" w:bidi="hi-IN"/>
    </w:rPr>
  </w:style>
  <w:style w:type="table" w:styleId="Grigliatabella">
    <w:name w:val="Table Grid"/>
    <w:basedOn w:val="Tabellanormale"/>
    <w:uiPriority w:val="39"/>
    <w:rsid w:val="00250B17"/>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e"/>
    <w:next w:val="Normale"/>
    <w:uiPriority w:val="37"/>
    <w:unhideWhenUsed/>
    <w:rsid w:val="00045007"/>
    <w:pPr>
      <w:ind w:left="720" w:hanging="72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5FCD2-FE36-4DF1-87F8-A27BFD41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14328</Words>
  <Characters>81674</Characters>
  <Application>Microsoft Office Word</Application>
  <DocSecurity>0</DocSecurity>
  <Lines>680</Lines>
  <Paragraphs>191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Carraro</dc:creator>
  <cp:lastModifiedBy>Silvio Tosatto</cp:lastModifiedBy>
  <cp:revision>2</cp:revision>
  <dcterms:created xsi:type="dcterms:W3CDTF">2017-04-17T08:13:00Z</dcterms:created>
  <dcterms:modified xsi:type="dcterms:W3CDTF">2017-04-17T08:13:00Z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id="XiZtqX1p"/&gt;&lt;style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